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150D46" w14:textId="74B2EC7A" w:rsidR="00E42817" w:rsidRDefault="00E42817" w:rsidP="00D965EB">
      <w:pPr>
        <w:jc w:val="center"/>
        <w:rPr>
          <w:b/>
          <w:bCs/>
        </w:rPr>
      </w:pPr>
      <w:r>
        <w:rPr>
          <w:b/>
          <w:bCs/>
        </w:rPr>
        <w:t>Desculpe o Transtorno</w:t>
      </w:r>
      <w:r w:rsidR="006005FB">
        <w:rPr>
          <w:b/>
          <w:bCs/>
        </w:rPr>
        <w:t>!</w:t>
      </w:r>
    </w:p>
    <w:p w14:paraId="3DD25E99" w14:textId="1F332B69" w:rsidR="00643649" w:rsidRPr="00AA397C" w:rsidRDefault="00D965EB" w:rsidP="00D965EB">
      <w:pPr>
        <w:jc w:val="center"/>
        <w:rPr>
          <w:b/>
          <w:bCs/>
        </w:rPr>
      </w:pPr>
      <w:r w:rsidRPr="00AA397C">
        <w:rPr>
          <w:b/>
          <w:bCs/>
        </w:rPr>
        <w:t>Operação Valoriza Regulação na ANEEL</w:t>
      </w:r>
    </w:p>
    <w:p w14:paraId="51D524D6" w14:textId="4EDD48F9" w:rsidR="0080020D" w:rsidRDefault="0080020D" w:rsidP="0080020D">
      <w:pPr>
        <w:ind w:firstLine="708"/>
        <w:jc w:val="both"/>
      </w:pPr>
    </w:p>
    <w:p w14:paraId="2CDF1FB4" w14:textId="101A0755" w:rsidR="006005FB" w:rsidRDefault="006005FB" w:rsidP="00FC66C2">
      <w:pPr>
        <w:ind w:firstLine="708"/>
        <w:jc w:val="both"/>
      </w:pPr>
      <w:r>
        <w:t>Desculpe</w:t>
      </w:r>
      <w:r w:rsidR="2C2B9315">
        <w:t>m</w:t>
      </w:r>
      <w:r w:rsidR="00A43EC0">
        <w:t>-nos</w:t>
      </w:r>
      <w:r>
        <w:t xml:space="preserve"> o transtorno! Mas, a culpa não é nossa.</w:t>
      </w:r>
    </w:p>
    <w:p w14:paraId="4EC3757E" w14:textId="64656371" w:rsidR="00FC66C2" w:rsidRDefault="00297833" w:rsidP="00FC66C2">
      <w:pPr>
        <w:ind w:firstLine="708"/>
        <w:jc w:val="both"/>
      </w:pPr>
      <w:r>
        <w:t>Nes</w:t>
      </w:r>
      <w:r w:rsidR="11A811D1">
        <w:t>t</w:t>
      </w:r>
      <w:r>
        <w:t>a nota, a</w:t>
      </w:r>
      <w:r w:rsidR="00FC66C2">
        <w:t xml:space="preserve"> </w:t>
      </w:r>
      <w:r w:rsidR="00C83991">
        <w:t xml:space="preserve">Associação dos Servidores da ANEEL – </w:t>
      </w:r>
      <w:r w:rsidR="00FC66C2">
        <w:t xml:space="preserve">ASEA </w:t>
      </w:r>
      <w:r>
        <w:t>explicar</w:t>
      </w:r>
      <w:r w:rsidR="65E0040B">
        <w:t>á</w:t>
      </w:r>
      <w:r>
        <w:t xml:space="preserve"> </w:t>
      </w:r>
      <w:r w:rsidR="00FC66C2">
        <w:t>o que é a Operação Valoriza Regulação</w:t>
      </w:r>
      <w:r w:rsidR="465821E5">
        <w:t>,</w:t>
      </w:r>
      <w:r w:rsidR="00FC66C2">
        <w:t xml:space="preserve"> como e</w:t>
      </w:r>
      <w:r w:rsidR="7A76C9B9">
        <w:t>la</w:t>
      </w:r>
      <w:r w:rsidR="00FC66C2">
        <w:t xml:space="preserve"> afeta a ANEEL e o </w:t>
      </w:r>
      <w:r w:rsidR="15A2FFB9">
        <w:t>S</w:t>
      </w:r>
      <w:r w:rsidR="00FC66C2">
        <w:t xml:space="preserve">etor </w:t>
      </w:r>
      <w:r w:rsidR="28FB6028">
        <w:t>E</w:t>
      </w:r>
      <w:r w:rsidR="00FC66C2">
        <w:t>létrico</w:t>
      </w:r>
      <w:r w:rsidR="00981CEC">
        <w:t xml:space="preserve">, </w:t>
      </w:r>
      <w:r w:rsidR="341BBE97">
        <w:t>apresentando</w:t>
      </w:r>
      <w:r w:rsidR="00981CEC">
        <w:t xml:space="preserve"> dados </w:t>
      </w:r>
      <w:r w:rsidR="00D40900">
        <w:t xml:space="preserve">relevantes sobre a situação </w:t>
      </w:r>
      <w:r w:rsidR="00193778">
        <w:t xml:space="preserve">atual e as expectativas para </w:t>
      </w:r>
      <w:r w:rsidR="00D40900">
        <w:t xml:space="preserve">a </w:t>
      </w:r>
      <w:r w:rsidR="59865331">
        <w:t>A</w:t>
      </w:r>
      <w:r w:rsidR="00D40900">
        <w:t>gência e o setor</w:t>
      </w:r>
      <w:r w:rsidR="00FC66C2">
        <w:t>.</w:t>
      </w:r>
      <w:r w:rsidR="005D4CF0">
        <w:t xml:space="preserve"> Importante destacar que esse documento foca no Setor Elétrico, porém o </w:t>
      </w:r>
      <w:r w:rsidR="004C126B">
        <w:t xml:space="preserve">mesmo ocorre nos setores regulados por todas as 11 Agências Reguladoras </w:t>
      </w:r>
      <w:r w:rsidR="00CC063E">
        <w:t>Brasileiras</w:t>
      </w:r>
      <w:r w:rsidR="00A80A96">
        <w:t xml:space="preserve">, que estão unidas </w:t>
      </w:r>
      <w:r w:rsidR="00727523">
        <w:t xml:space="preserve">na Operação </w:t>
      </w:r>
      <w:r w:rsidR="00A80A96">
        <w:t>Valoriza</w:t>
      </w:r>
      <w:r w:rsidR="00727523">
        <w:t xml:space="preserve"> </w:t>
      </w:r>
      <w:r w:rsidR="00A80A96">
        <w:t>Regulação</w:t>
      </w:r>
      <w:r w:rsidR="00CC063E">
        <w:t>!</w:t>
      </w:r>
    </w:p>
    <w:p w14:paraId="58EA1053" w14:textId="59AC0A13" w:rsidR="00AD11B9" w:rsidRDefault="00AD11B9" w:rsidP="003C7E50">
      <w:pPr>
        <w:ind w:firstLine="708"/>
        <w:jc w:val="both"/>
      </w:pPr>
      <w:r>
        <w:t xml:space="preserve">A transformação </w:t>
      </w:r>
      <w:r w:rsidR="00E37B55">
        <w:t xml:space="preserve">do sistema elétrico </w:t>
      </w:r>
      <w:r>
        <w:t xml:space="preserve">é fato conhecido e </w:t>
      </w:r>
      <w:r w:rsidR="612364E5">
        <w:t>amplamente</w:t>
      </w:r>
      <w:r>
        <w:t xml:space="preserve"> discutido por todos </w:t>
      </w:r>
      <w:r w:rsidR="15A48EB2">
        <w:t>os envolvidos</w:t>
      </w:r>
      <w:r>
        <w:t xml:space="preserve"> no setor. </w:t>
      </w:r>
      <w:r w:rsidR="4711D343">
        <w:t>Antigamente,</w:t>
      </w:r>
      <w:r>
        <w:t xml:space="preserve"> o setor era composto por poucos geradores, transmissores, distribuidores e consumidores</w:t>
      </w:r>
      <w:r w:rsidR="003C7E50">
        <w:t xml:space="preserve"> livres</w:t>
      </w:r>
      <w:r w:rsidR="23DC3E9B">
        <w:t>. Entretanto</w:t>
      </w:r>
      <w:r w:rsidR="003C7E50">
        <w:t>, a evolução tecnológica e regulatória ampliou esses números de forma exponencial</w:t>
      </w:r>
      <w:r w:rsidR="26D1218C">
        <w:t>,</w:t>
      </w:r>
      <w:r w:rsidR="003C7E50">
        <w:t xml:space="preserve"> </w:t>
      </w:r>
      <w:r w:rsidR="7F337ED5">
        <w:t>trazendo</w:t>
      </w:r>
      <w:r w:rsidR="003C7E50">
        <w:t xml:space="preserve"> complexidade e volume aos temas </w:t>
      </w:r>
      <w:r w:rsidR="00AC33F0">
        <w:t>debatidos</w:t>
      </w:r>
      <w:r w:rsidR="003E3F25">
        <w:t>, como pode ser observado das figuras e gráficos apresentados a seguir</w:t>
      </w:r>
      <w:r w:rsidR="003C7E50">
        <w:t>.</w:t>
      </w:r>
      <w:r>
        <w:t xml:space="preserve"> </w:t>
      </w:r>
    </w:p>
    <w:p w14:paraId="56F5B08C" w14:textId="77777777" w:rsidR="003C7E50" w:rsidRDefault="003C7E50" w:rsidP="003C7E50">
      <w:pPr>
        <w:ind w:firstLine="708"/>
        <w:jc w:val="both"/>
      </w:pPr>
    </w:p>
    <w:p w14:paraId="414228BF" w14:textId="72360F97" w:rsidR="00AD11B9" w:rsidRDefault="00AD11B9" w:rsidP="00AD11B9">
      <w:pPr>
        <w:jc w:val="both"/>
      </w:pPr>
      <w:r>
        <w:rPr>
          <w:noProof/>
        </w:rPr>
        <w:drawing>
          <wp:inline distT="0" distB="0" distL="0" distR="0" wp14:anchorId="1F00FEEE" wp14:editId="032FF5FC">
            <wp:extent cx="5927625" cy="2359479"/>
            <wp:effectExtent l="0" t="0" r="3810" b="3175"/>
            <wp:docPr id="12" name="Imagem 12" descr="Diagram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Diagrama&#10;&#10;Descrição gerada automaticamente com confiança baixa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153" cy="23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51CE6" w14:textId="70C5DC19" w:rsidR="00AD11B9" w:rsidRPr="00BB1996" w:rsidRDefault="00BC00F2" w:rsidP="00BC00F2">
      <w:pPr>
        <w:ind w:firstLine="708"/>
        <w:jc w:val="center"/>
        <w:rPr>
          <w:sz w:val="20"/>
          <w:szCs w:val="20"/>
        </w:rPr>
      </w:pPr>
      <w:r w:rsidRPr="00BB1996">
        <w:rPr>
          <w:sz w:val="20"/>
          <w:szCs w:val="20"/>
        </w:rPr>
        <w:t>Aumento da Complexidade e Temas Discutidos</w:t>
      </w:r>
    </w:p>
    <w:p w14:paraId="15297632" w14:textId="77777777" w:rsidR="00AD11B9" w:rsidRDefault="00AD11B9" w:rsidP="0080020D">
      <w:pPr>
        <w:ind w:firstLine="708"/>
        <w:jc w:val="both"/>
      </w:pPr>
    </w:p>
    <w:p w14:paraId="341292A9" w14:textId="0D4F3ABB" w:rsidR="004F17AE" w:rsidRDefault="004F17AE" w:rsidP="004F17AE">
      <w:pPr>
        <w:jc w:val="center"/>
      </w:pPr>
      <w:r w:rsidRPr="004F17AE">
        <w:rPr>
          <w:noProof/>
        </w:rPr>
        <w:drawing>
          <wp:inline distT="0" distB="0" distL="0" distR="0" wp14:anchorId="6757957F" wp14:editId="1C784483">
            <wp:extent cx="5626282" cy="2400300"/>
            <wp:effectExtent l="0" t="0" r="0" b="0"/>
            <wp:docPr id="1026" name="Picture 2" descr="Gráfico, Histograma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06DBCE90-8170-1A98-BCB1-7A4EFA55E4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ráfico, Histograma&#10;&#10;Descrição gerada automaticamente">
                      <a:extLst>
                        <a:ext uri="{FF2B5EF4-FFF2-40B4-BE49-F238E27FC236}">
                          <a16:creationId xmlns:a16="http://schemas.microsoft.com/office/drawing/2014/main" id="{06DBCE90-8170-1A98-BCB1-7A4EFA55E42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49" cy="241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2E9CE4" w14:textId="7EA58CAC" w:rsidR="004F17AE" w:rsidRPr="00BB1996" w:rsidRDefault="00B97985" w:rsidP="004F17AE">
      <w:pPr>
        <w:jc w:val="center"/>
        <w:rPr>
          <w:sz w:val="20"/>
          <w:szCs w:val="20"/>
        </w:rPr>
      </w:pPr>
      <w:r w:rsidRPr="00BB1996">
        <w:rPr>
          <w:sz w:val="20"/>
          <w:szCs w:val="20"/>
        </w:rPr>
        <w:t>Ampliação da Rede de Transmissão</w:t>
      </w:r>
    </w:p>
    <w:p w14:paraId="7AA5280A" w14:textId="77777777" w:rsidR="00BC00F2" w:rsidRPr="00BB1996" w:rsidRDefault="00BC00F2" w:rsidP="004F17AE">
      <w:pPr>
        <w:jc w:val="center"/>
        <w:rPr>
          <w:sz w:val="20"/>
          <w:szCs w:val="20"/>
        </w:rPr>
      </w:pPr>
    </w:p>
    <w:p w14:paraId="5FEB1510" w14:textId="60D6ADF2" w:rsidR="004F17AE" w:rsidRDefault="004F17AE" w:rsidP="004F17AE">
      <w:pPr>
        <w:jc w:val="center"/>
      </w:pPr>
      <w:r w:rsidRPr="004F17AE">
        <w:rPr>
          <w:noProof/>
        </w:rPr>
        <w:lastRenderedPageBreak/>
        <w:drawing>
          <wp:inline distT="0" distB="0" distL="0" distR="0" wp14:anchorId="26DC1912" wp14:editId="6C79EE4F">
            <wp:extent cx="5623926" cy="2955471"/>
            <wp:effectExtent l="0" t="0" r="2540" b="3810"/>
            <wp:docPr id="15" name="Picture 4" descr="Gráfico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F1516D64-F26D-5E96-BF63-4E8CD77DF1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4" descr="Gráfico&#10;&#10;Descrição gerada automaticamente">
                      <a:extLst>
                        <a:ext uri="{FF2B5EF4-FFF2-40B4-BE49-F238E27FC236}">
                          <a16:creationId xmlns:a16="http://schemas.microsoft.com/office/drawing/2014/main" id="{F1516D64-F26D-5E96-BF63-4E8CD77DF19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67" cy="2963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1598BA" w14:textId="38666874" w:rsidR="004F17AE" w:rsidRDefault="00B97985" w:rsidP="004F17AE">
      <w:pPr>
        <w:jc w:val="center"/>
        <w:rPr>
          <w:sz w:val="20"/>
          <w:szCs w:val="20"/>
        </w:rPr>
      </w:pPr>
      <w:r w:rsidRPr="00BB1996">
        <w:rPr>
          <w:sz w:val="20"/>
          <w:szCs w:val="20"/>
        </w:rPr>
        <w:t>Aumento dos Agentes de Transmissão</w:t>
      </w:r>
    </w:p>
    <w:p w14:paraId="4BC1EBB4" w14:textId="77777777" w:rsidR="00BB1996" w:rsidRPr="00BB1996" w:rsidRDefault="00BB1996" w:rsidP="004F17AE">
      <w:pPr>
        <w:jc w:val="center"/>
        <w:rPr>
          <w:sz w:val="20"/>
          <w:szCs w:val="20"/>
        </w:rPr>
      </w:pPr>
    </w:p>
    <w:p w14:paraId="5F67A338" w14:textId="2B6E4BAB" w:rsidR="004F17AE" w:rsidRDefault="004F17AE" w:rsidP="00D965EB">
      <w:pPr>
        <w:jc w:val="both"/>
      </w:pPr>
      <w:r w:rsidRPr="004F17AE">
        <w:rPr>
          <w:noProof/>
        </w:rPr>
        <w:drawing>
          <wp:inline distT="0" distB="0" distL="0" distR="0" wp14:anchorId="41599884" wp14:editId="34558363">
            <wp:extent cx="5551714" cy="4041322"/>
            <wp:effectExtent l="0" t="0" r="11430" b="1016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2BFEB760-4187-2135-8026-619BE9F8B2F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261D5FD" w14:textId="0BA1C0CF" w:rsidR="004F17AE" w:rsidRPr="00BB1996" w:rsidRDefault="00B97985" w:rsidP="00B97985">
      <w:pPr>
        <w:jc w:val="center"/>
        <w:rPr>
          <w:sz w:val="20"/>
          <w:szCs w:val="20"/>
        </w:rPr>
      </w:pPr>
      <w:r w:rsidRPr="00BB1996">
        <w:rPr>
          <w:sz w:val="20"/>
          <w:szCs w:val="20"/>
        </w:rPr>
        <w:t>Aumento da Geração</w:t>
      </w:r>
    </w:p>
    <w:p w14:paraId="29D3FDBA" w14:textId="44B987CF" w:rsidR="00B97985" w:rsidRDefault="00B97985" w:rsidP="00D965EB">
      <w:pPr>
        <w:jc w:val="both"/>
      </w:pPr>
    </w:p>
    <w:p w14:paraId="1C9BF5BB" w14:textId="77777777" w:rsidR="00B97985" w:rsidRDefault="00B97985" w:rsidP="00D965EB">
      <w:pPr>
        <w:jc w:val="both"/>
      </w:pPr>
    </w:p>
    <w:p w14:paraId="26FD09B0" w14:textId="5B123EE8" w:rsidR="004F17AE" w:rsidRDefault="00BB2C16" w:rsidP="00D965EB">
      <w:pPr>
        <w:jc w:val="both"/>
      </w:pPr>
      <w:r w:rsidRPr="00BB2C16">
        <w:rPr>
          <w:noProof/>
        </w:rPr>
        <w:lastRenderedPageBreak/>
        <w:drawing>
          <wp:inline distT="0" distB="0" distL="0" distR="0" wp14:anchorId="66043DD2" wp14:editId="4569DA2A">
            <wp:extent cx="5551170" cy="3804557"/>
            <wp:effectExtent l="0" t="0" r="11430" b="18415"/>
            <wp:docPr id="16" name="Gráfico 16">
              <a:extLst xmlns:a="http://schemas.openxmlformats.org/drawingml/2006/main">
                <a:ext uri="{FF2B5EF4-FFF2-40B4-BE49-F238E27FC236}">
                  <a16:creationId xmlns:a16="http://schemas.microsoft.com/office/drawing/2014/main" id="{51E3F287-7C18-8773-C5E3-05BF6F8A446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929A3E7" w14:textId="7A6CBB9D" w:rsidR="004F17AE" w:rsidRPr="00BB1996" w:rsidRDefault="00BB1996" w:rsidP="00B97985">
      <w:pPr>
        <w:jc w:val="center"/>
        <w:rPr>
          <w:sz w:val="20"/>
          <w:szCs w:val="20"/>
        </w:rPr>
      </w:pPr>
      <w:r>
        <w:rPr>
          <w:sz w:val="20"/>
          <w:szCs w:val="20"/>
        </w:rPr>
        <w:t>Acréscimo</w:t>
      </w:r>
      <w:r w:rsidR="00B97985" w:rsidRPr="00BB1996">
        <w:rPr>
          <w:sz w:val="20"/>
          <w:szCs w:val="20"/>
        </w:rPr>
        <w:t xml:space="preserve"> de </w:t>
      </w:r>
      <w:r>
        <w:rPr>
          <w:sz w:val="20"/>
          <w:szCs w:val="20"/>
        </w:rPr>
        <w:t>uma</w:t>
      </w:r>
      <w:r w:rsidR="00B97985" w:rsidRPr="00BB1996">
        <w:rPr>
          <w:sz w:val="20"/>
          <w:szCs w:val="20"/>
        </w:rPr>
        <w:t xml:space="preserve"> Micro e Minigeração Distribuída a </w:t>
      </w:r>
      <w:r>
        <w:rPr>
          <w:sz w:val="20"/>
          <w:szCs w:val="20"/>
        </w:rPr>
        <w:t>c</w:t>
      </w:r>
      <w:r w:rsidR="00B97985" w:rsidRPr="00BB1996">
        <w:rPr>
          <w:sz w:val="20"/>
          <w:szCs w:val="20"/>
        </w:rPr>
        <w:t>ada 45 Segundos</w:t>
      </w:r>
    </w:p>
    <w:p w14:paraId="73C0D2A5" w14:textId="475DFADA" w:rsidR="004F17AE" w:rsidRDefault="004F17AE" w:rsidP="00D965EB">
      <w:pPr>
        <w:jc w:val="both"/>
      </w:pPr>
    </w:p>
    <w:p w14:paraId="7B6D6139" w14:textId="0F577BB9" w:rsidR="004F17AE" w:rsidRDefault="00BB2C16" w:rsidP="00D965EB">
      <w:pPr>
        <w:jc w:val="both"/>
      </w:pPr>
      <w:r w:rsidRPr="00BB2C16">
        <w:rPr>
          <w:noProof/>
        </w:rPr>
        <w:drawing>
          <wp:inline distT="0" distB="0" distL="0" distR="0" wp14:anchorId="2A321DC8" wp14:editId="2B57DFE7">
            <wp:extent cx="5400040" cy="3077845"/>
            <wp:effectExtent l="0" t="0" r="0" b="0"/>
            <wp:docPr id="2050" name="Picture 2" descr="Gráfico, Gráfico de linhas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C6E5DFB2-8C12-7891-6F19-D11CD17E91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Gráfico, Gráfico de linhas&#10;&#10;Descrição gerada automaticamente">
                      <a:extLst>
                        <a:ext uri="{FF2B5EF4-FFF2-40B4-BE49-F238E27FC236}">
                          <a16:creationId xmlns:a16="http://schemas.microsoft.com/office/drawing/2014/main" id="{C6E5DFB2-8C12-7891-6F19-D11CD17E91F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7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CE0B92" w14:textId="3114F07C" w:rsidR="00BB2C16" w:rsidRPr="00BB1996" w:rsidRDefault="00B97985" w:rsidP="00B97985">
      <w:pPr>
        <w:jc w:val="center"/>
        <w:rPr>
          <w:sz w:val="20"/>
          <w:szCs w:val="20"/>
        </w:rPr>
      </w:pPr>
      <w:r w:rsidRPr="00BB1996">
        <w:rPr>
          <w:sz w:val="20"/>
          <w:szCs w:val="20"/>
        </w:rPr>
        <w:t>Aumento de 10 vezes mais Acessantes à Rede Básica em 20 anos</w:t>
      </w:r>
    </w:p>
    <w:p w14:paraId="26D733B1" w14:textId="39E9F7D3" w:rsidR="00BB2C16" w:rsidRDefault="00BB2C16" w:rsidP="00D965EB">
      <w:pPr>
        <w:jc w:val="both"/>
      </w:pPr>
    </w:p>
    <w:p w14:paraId="5FD51E6F" w14:textId="79DCCAB7" w:rsidR="00BB2C16" w:rsidRDefault="00B97985" w:rsidP="00B97985">
      <w:pPr>
        <w:jc w:val="center"/>
      </w:pPr>
      <w:r w:rsidRPr="00B97985">
        <w:rPr>
          <w:noProof/>
        </w:rPr>
        <w:lastRenderedPageBreak/>
        <w:drawing>
          <wp:inline distT="0" distB="0" distL="0" distR="0" wp14:anchorId="2659BCA1" wp14:editId="5793EFB9">
            <wp:extent cx="5070475" cy="3028950"/>
            <wp:effectExtent l="0" t="0" r="9525" b="6350"/>
            <wp:docPr id="17" name="Gráfico 17">
              <a:extLst xmlns:a="http://schemas.openxmlformats.org/drawingml/2006/main">
                <a:ext uri="{FF2B5EF4-FFF2-40B4-BE49-F238E27FC236}">
                  <a16:creationId xmlns:a16="http://schemas.microsoft.com/office/drawing/2014/main" id="{4244B9BC-C738-09E0-8AC1-531F0E9ADFC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CF1B818" w14:textId="5DAAD399" w:rsidR="00BB2C16" w:rsidRPr="00BB1996" w:rsidRDefault="00B97985" w:rsidP="00B97985">
      <w:pPr>
        <w:jc w:val="center"/>
        <w:rPr>
          <w:sz w:val="20"/>
          <w:szCs w:val="20"/>
        </w:rPr>
      </w:pPr>
      <w:r w:rsidRPr="00BB1996">
        <w:rPr>
          <w:sz w:val="20"/>
          <w:szCs w:val="20"/>
        </w:rPr>
        <w:t>Aumento de Reclamações na Ouvidoria</w:t>
      </w:r>
    </w:p>
    <w:p w14:paraId="7D848306" w14:textId="5FA37357" w:rsidR="00B97985" w:rsidRDefault="00B97985" w:rsidP="00B97985">
      <w:pPr>
        <w:jc w:val="center"/>
      </w:pPr>
    </w:p>
    <w:p w14:paraId="1C8CBBAE" w14:textId="35E3E3E3" w:rsidR="00B97985" w:rsidRDefault="0089060D" w:rsidP="0089060D">
      <w:pPr>
        <w:jc w:val="both"/>
      </w:pPr>
      <w:r>
        <w:tab/>
      </w:r>
      <w:r w:rsidR="1D36C9E3">
        <w:t>Os</w:t>
      </w:r>
      <w:r>
        <w:t xml:space="preserve"> cenários e projeções futuras do setor elétrico </w:t>
      </w:r>
      <w:r w:rsidR="544A3155">
        <w:t>indicam</w:t>
      </w:r>
      <w:r>
        <w:t xml:space="preserve"> que esse aumento continuará ocorrendo.</w:t>
      </w:r>
    </w:p>
    <w:p w14:paraId="75E28603" w14:textId="39F9F6A9" w:rsidR="0089060D" w:rsidRDefault="0089060D" w:rsidP="0089060D"/>
    <w:p w14:paraId="457889BC" w14:textId="6E465E2A" w:rsidR="0089060D" w:rsidRDefault="0089060D" w:rsidP="0089060D">
      <w:pPr>
        <w:jc w:val="center"/>
      </w:pPr>
      <w:r w:rsidRPr="0089060D">
        <w:rPr>
          <w:noProof/>
        </w:rPr>
        <w:drawing>
          <wp:inline distT="0" distB="0" distL="0" distR="0" wp14:anchorId="1C975AAF" wp14:editId="13894DC8">
            <wp:extent cx="5387653" cy="2944295"/>
            <wp:effectExtent l="0" t="0" r="0" b="2540"/>
            <wp:docPr id="19" name="Imagem 17" descr="Gráfico, Gráfico de linhas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10E7ED4A-ACFB-C7D4-54B5-09A9670FCF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7" descr="Gráfico, Gráfico de linhas&#10;&#10;Descrição gerada automaticamente">
                      <a:extLst>
                        <a:ext uri="{FF2B5EF4-FFF2-40B4-BE49-F238E27FC236}">
                          <a16:creationId xmlns:a16="http://schemas.microsoft.com/office/drawing/2014/main" id="{10E7ED4A-ACFB-C7D4-54B5-09A9670FCF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2428" cy="300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FD61A" w14:textId="2B195473" w:rsidR="0089060D" w:rsidRPr="00BB1996" w:rsidRDefault="0089060D" w:rsidP="0089060D">
      <w:pPr>
        <w:jc w:val="center"/>
        <w:rPr>
          <w:sz w:val="20"/>
          <w:szCs w:val="20"/>
        </w:rPr>
      </w:pPr>
      <w:r w:rsidRPr="00BB1996">
        <w:rPr>
          <w:sz w:val="20"/>
          <w:szCs w:val="20"/>
        </w:rPr>
        <w:t>Expansão da Transmissão até 2032</w:t>
      </w:r>
    </w:p>
    <w:p w14:paraId="3BEDD0E2" w14:textId="77777777" w:rsidR="00BB2C16" w:rsidRDefault="00BB2C16" w:rsidP="00D965EB">
      <w:pPr>
        <w:jc w:val="both"/>
      </w:pPr>
    </w:p>
    <w:p w14:paraId="2A0EC939" w14:textId="27737F0B" w:rsidR="004F17AE" w:rsidRDefault="0089060D" w:rsidP="00D965EB">
      <w:pPr>
        <w:jc w:val="both"/>
      </w:pPr>
      <w:r>
        <w:rPr>
          <w:noProof/>
        </w:rPr>
        <w:lastRenderedPageBreak/>
        <w:drawing>
          <wp:inline distT="0" distB="0" distL="0" distR="0" wp14:anchorId="14DD949A" wp14:editId="1E54581A">
            <wp:extent cx="5400040" cy="2061845"/>
            <wp:effectExtent l="0" t="0" r="0" b="0"/>
            <wp:docPr id="20" name="Imagem 20" descr="Gráfico, Gráfico de barr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 descr="Gráfico, Gráfico de barras&#10;&#10;Descrição gerad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906" cy="209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C6C38" w14:textId="091E1471" w:rsidR="0089060D" w:rsidRPr="00BB1996" w:rsidRDefault="0089060D" w:rsidP="0089060D">
      <w:pPr>
        <w:tabs>
          <w:tab w:val="left" w:pos="3639"/>
        </w:tabs>
        <w:jc w:val="center"/>
        <w:rPr>
          <w:sz w:val="20"/>
          <w:szCs w:val="20"/>
        </w:rPr>
      </w:pPr>
      <w:r w:rsidRPr="00BB1996">
        <w:rPr>
          <w:sz w:val="20"/>
          <w:szCs w:val="20"/>
        </w:rPr>
        <w:t>Requisitos de Energia e Potência até 2032</w:t>
      </w:r>
    </w:p>
    <w:p w14:paraId="52EB3A50" w14:textId="77777777" w:rsidR="0089060D" w:rsidRPr="00BB1996" w:rsidRDefault="0089060D" w:rsidP="00D965EB">
      <w:pPr>
        <w:jc w:val="both"/>
        <w:rPr>
          <w:sz w:val="20"/>
          <w:szCs w:val="20"/>
        </w:rPr>
      </w:pPr>
    </w:p>
    <w:p w14:paraId="7703768A" w14:textId="429E8A2D" w:rsidR="00833AF9" w:rsidRDefault="00AC33F0" w:rsidP="00833AF9">
      <w:pPr>
        <w:ind w:firstLine="708"/>
        <w:jc w:val="both"/>
      </w:pPr>
      <w:r>
        <w:t xml:space="preserve">Todavia, essa expansão </w:t>
      </w:r>
      <w:r w:rsidR="00E1343C">
        <w:t xml:space="preserve">do setor regulado, </w:t>
      </w:r>
      <w:r w:rsidR="517BE4CA">
        <w:t xml:space="preserve">não </w:t>
      </w:r>
      <w:r w:rsidR="00482BBA">
        <w:t>foi acompanhada da</w:t>
      </w:r>
      <w:r>
        <w:t xml:space="preserve"> </w:t>
      </w:r>
      <w:r w:rsidR="00E1343C">
        <w:t xml:space="preserve">expansão do quadro de servidores da </w:t>
      </w:r>
      <w:r>
        <w:t>ANEEL</w:t>
      </w:r>
      <w:r w:rsidR="007C6636">
        <w:t>, como pode ser observado do gráfico a seguir</w:t>
      </w:r>
      <w:r>
        <w:t>.</w:t>
      </w:r>
      <w:r w:rsidR="006C57B1">
        <w:t xml:space="preserve"> </w:t>
      </w:r>
    </w:p>
    <w:p w14:paraId="544E7863" w14:textId="10861374" w:rsidR="00AC33F0" w:rsidRDefault="00AC33F0" w:rsidP="00EF4A2C">
      <w:pPr>
        <w:ind w:firstLine="708"/>
        <w:jc w:val="both"/>
      </w:pPr>
      <w:r>
        <w:t xml:space="preserve"> </w:t>
      </w:r>
    </w:p>
    <w:p w14:paraId="0560265A" w14:textId="59405F79" w:rsidR="003F2749" w:rsidRDefault="005A6EBF" w:rsidP="002B1874">
      <w:pPr>
        <w:jc w:val="both"/>
      </w:pPr>
      <w:r>
        <w:rPr>
          <w:noProof/>
        </w:rPr>
        <w:drawing>
          <wp:inline distT="0" distB="0" distL="0" distR="0" wp14:anchorId="159B8159" wp14:editId="27AB0AAF">
            <wp:extent cx="5400040" cy="3368040"/>
            <wp:effectExtent l="0" t="0" r="0" b="0"/>
            <wp:docPr id="2" name="Imagem 2" descr="Gráfico, Gráfico de linh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Gráfico, Gráfico de linhas&#10;&#10;Descrição gerada automa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3170A" w14:textId="3D9BD9D8" w:rsidR="00AC33F0" w:rsidRPr="00BB1996" w:rsidRDefault="002B1874" w:rsidP="002B1874">
      <w:pPr>
        <w:jc w:val="center"/>
        <w:rPr>
          <w:sz w:val="20"/>
          <w:szCs w:val="20"/>
        </w:rPr>
      </w:pPr>
      <w:r w:rsidRPr="00BB1996">
        <w:rPr>
          <w:sz w:val="20"/>
          <w:szCs w:val="20"/>
        </w:rPr>
        <w:t>Quadro de Servidores</w:t>
      </w:r>
      <w:r w:rsidR="006E5195">
        <w:rPr>
          <w:sz w:val="20"/>
          <w:szCs w:val="20"/>
        </w:rPr>
        <w:t xml:space="preserve"> (curva vermelha)</w:t>
      </w:r>
      <w:r w:rsidRPr="00BB1996">
        <w:rPr>
          <w:sz w:val="20"/>
          <w:szCs w:val="20"/>
        </w:rPr>
        <w:t xml:space="preserve"> </w:t>
      </w:r>
      <w:proofErr w:type="spellStart"/>
      <w:r w:rsidRPr="00BB1996">
        <w:rPr>
          <w:sz w:val="20"/>
          <w:szCs w:val="20"/>
        </w:rPr>
        <w:t>Vs</w:t>
      </w:r>
      <w:proofErr w:type="spellEnd"/>
      <w:r w:rsidRPr="00BB1996">
        <w:rPr>
          <w:sz w:val="20"/>
          <w:szCs w:val="20"/>
        </w:rPr>
        <w:t xml:space="preserve"> Evolução Setorial</w:t>
      </w:r>
      <w:r w:rsidR="006E5195">
        <w:rPr>
          <w:sz w:val="20"/>
          <w:szCs w:val="20"/>
        </w:rPr>
        <w:t xml:space="preserve"> (demais curvas)</w:t>
      </w:r>
    </w:p>
    <w:p w14:paraId="7338464D" w14:textId="117C4C28" w:rsidR="006C57B1" w:rsidRDefault="006C57B1" w:rsidP="00BB1996">
      <w:pPr>
        <w:ind w:firstLine="708"/>
        <w:jc w:val="both"/>
      </w:pPr>
    </w:p>
    <w:p w14:paraId="6AA18792" w14:textId="51E38514" w:rsidR="00833AF9" w:rsidRDefault="00833AF9" w:rsidP="0085588C">
      <w:pPr>
        <w:ind w:firstLine="708"/>
        <w:jc w:val="both"/>
      </w:pPr>
      <w:r>
        <w:t>A Lei nº 10.871, de 2004, p</w:t>
      </w:r>
      <w:r w:rsidR="63EC56A3">
        <w:t>revia</w:t>
      </w:r>
      <w:r>
        <w:t xml:space="preserve"> que a ANEEL t</w:t>
      </w:r>
      <w:r w:rsidR="7DEAB967">
        <w:t>ivesse</w:t>
      </w:r>
      <w:r>
        <w:t xml:space="preserve"> 765 servidores, </w:t>
      </w:r>
      <w:r w:rsidR="1FBF5477">
        <w:t>mas</w:t>
      </w:r>
      <w:r>
        <w:t xml:space="preserve"> esse número nunca foi atingido e já se mostra insuficiente </w:t>
      </w:r>
      <w:r w:rsidR="3B04E5AE">
        <w:t xml:space="preserve">para a </w:t>
      </w:r>
      <w:r>
        <w:t xml:space="preserve">realidade atual do </w:t>
      </w:r>
      <w:r w:rsidR="70526165">
        <w:t>s</w:t>
      </w:r>
      <w:r>
        <w:t xml:space="preserve">etor </w:t>
      </w:r>
      <w:r w:rsidR="458F003E">
        <w:t>e</w:t>
      </w:r>
      <w:r>
        <w:t xml:space="preserve">létrico </w:t>
      </w:r>
      <w:r w:rsidR="3106C9C8">
        <w:t>b</w:t>
      </w:r>
      <w:r>
        <w:t>rasileiro</w:t>
      </w:r>
      <w:r w:rsidR="1D72B3A1">
        <w:t xml:space="preserve"> e sua</w:t>
      </w:r>
      <w:r w:rsidR="00D3690E">
        <w:t>s</w:t>
      </w:r>
      <w:r w:rsidR="1D72B3A1">
        <w:t xml:space="preserve"> perspectiva</w:t>
      </w:r>
      <w:r w:rsidR="355BE97C">
        <w:t>s</w:t>
      </w:r>
      <w:r w:rsidR="1D72B3A1">
        <w:t xml:space="preserve"> de crescimento futuro</w:t>
      </w:r>
      <w:r>
        <w:t xml:space="preserve">. </w:t>
      </w:r>
      <w:r w:rsidR="002A2AC6">
        <w:t xml:space="preserve">Atualmente, </w:t>
      </w:r>
      <w:r w:rsidR="0097770F">
        <w:t>a Agência c</w:t>
      </w:r>
      <w:r w:rsidR="00D53F04">
        <w:t xml:space="preserve">onta </w:t>
      </w:r>
      <w:r w:rsidR="007E429A">
        <w:t xml:space="preserve">com </w:t>
      </w:r>
      <w:r w:rsidR="00E628F6">
        <w:t xml:space="preserve">um quadro </w:t>
      </w:r>
      <w:r w:rsidR="00480768">
        <w:t>de</w:t>
      </w:r>
      <w:r w:rsidR="00114281">
        <w:t xml:space="preserve"> </w:t>
      </w:r>
      <w:r>
        <w:t xml:space="preserve">559 servidores, o que representa uma defasagem de 27% </w:t>
      </w:r>
      <w:r w:rsidR="00D750E9">
        <w:t xml:space="preserve">em relação </w:t>
      </w:r>
      <w:r w:rsidR="00785088">
        <w:t xml:space="preserve">ao previsto por lei. </w:t>
      </w:r>
    </w:p>
    <w:p w14:paraId="133FC460" w14:textId="085E1DD4" w:rsidR="0085588C" w:rsidRDefault="007D3D57" w:rsidP="0085588C">
      <w:pPr>
        <w:ind w:firstLine="708"/>
        <w:jc w:val="both"/>
      </w:pPr>
      <w:r>
        <w:t>No Concurso Público Nacional Unificado (CNU), são oferecidas 1.100 vagas para cargos com planos de carreiras superiores aos da ANEEL</w:t>
      </w:r>
      <w:r w:rsidR="00593F2C">
        <w:t xml:space="preserve">, o que </w:t>
      </w:r>
      <w:r w:rsidR="008E5671">
        <w:t>representa um risco potencial de ampliar a evasão de servidores da ANEEL e das demais Agências</w:t>
      </w:r>
      <w:r w:rsidR="00B07213">
        <w:t xml:space="preserve"> reguladoras</w:t>
      </w:r>
      <w:r>
        <w:t xml:space="preserve">. </w:t>
      </w:r>
    </w:p>
    <w:p w14:paraId="4728A9B2" w14:textId="50748CC7" w:rsidR="0085588C" w:rsidRDefault="00C620A9" w:rsidP="00C620A9">
      <w:pPr>
        <w:jc w:val="both"/>
      </w:pPr>
      <w:r>
        <w:rPr>
          <w:noProof/>
        </w:rPr>
        <w:lastRenderedPageBreak/>
        <w:drawing>
          <wp:inline distT="0" distB="0" distL="0" distR="0" wp14:anchorId="22497DDE" wp14:editId="7C26887B">
            <wp:extent cx="5400040" cy="2110740"/>
            <wp:effectExtent l="0" t="0" r="0" b="0"/>
            <wp:docPr id="33" name="Imagem 33" descr="Interface gráfica do usuário, Aplicativ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33" descr="Interface gráfica do usuário, Aplicativo&#10;&#10;Descrição gerada automaticamente com confiança média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E52BC" w14:textId="40D1FF58" w:rsidR="00C620A9" w:rsidRPr="00C620A9" w:rsidRDefault="00C620A9" w:rsidP="00C620A9">
      <w:pPr>
        <w:jc w:val="center"/>
        <w:rPr>
          <w:sz w:val="20"/>
          <w:szCs w:val="20"/>
        </w:rPr>
      </w:pPr>
      <w:r w:rsidRPr="00C620A9">
        <w:rPr>
          <w:sz w:val="20"/>
          <w:szCs w:val="20"/>
        </w:rPr>
        <w:t>Vagas Oferecidas para a ANEEL e outras carreiras Melhores no CNU</w:t>
      </w:r>
    </w:p>
    <w:p w14:paraId="7F9FB86E" w14:textId="77777777" w:rsidR="00C620A9" w:rsidRDefault="00C620A9" w:rsidP="0085588C">
      <w:pPr>
        <w:ind w:firstLine="708"/>
        <w:jc w:val="both"/>
      </w:pPr>
    </w:p>
    <w:p w14:paraId="6B6C90A2" w14:textId="0DC34C51" w:rsidR="00B648E5" w:rsidRDefault="00CB1C4A" w:rsidP="0085588C">
      <w:pPr>
        <w:ind w:firstLine="708"/>
        <w:jc w:val="both"/>
      </w:pPr>
      <w:r>
        <w:t>E</w:t>
      </w:r>
      <w:r w:rsidR="00C620A9">
        <w:t xml:space="preserve">ssa </w:t>
      </w:r>
      <w:r w:rsidR="00B648E5">
        <w:t xml:space="preserve">constante evasão de servidores, </w:t>
      </w:r>
      <w:r>
        <w:t xml:space="preserve">resulta em </w:t>
      </w:r>
      <w:r w:rsidR="00B648E5">
        <w:t xml:space="preserve">perda de conhecimento técnico e sobrecarga para os servidores </w:t>
      </w:r>
      <w:r w:rsidR="00FA354B">
        <w:t>remanescentes</w:t>
      </w:r>
      <w:r w:rsidR="00B648E5">
        <w:t xml:space="preserve">, </w:t>
      </w:r>
      <w:r w:rsidR="00664F73">
        <w:t xml:space="preserve">o que </w:t>
      </w:r>
      <w:r w:rsidR="00E90A41">
        <w:t>poderia ser evitad</w:t>
      </w:r>
      <w:r w:rsidR="00664F73">
        <w:t>o</w:t>
      </w:r>
      <w:r w:rsidR="00E90A41">
        <w:t xml:space="preserve"> se o governo investisse no </w:t>
      </w:r>
      <w:r w:rsidR="00714226">
        <w:t>fortalecimento das</w:t>
      </w:r>
      <w:r w:rsidR="00C620A9">
        <w:t xml:space="preserve"> carreiras da ANEEL</w:t>
      </w:r>
      <w:r w:rsidR="0048203C">
        <w:t xml:space="preserve">, alinhando </w:t>
      </w:r>
      <w:r w:rsidR="00F07A20">
        <w:t xml:space="preserve">os vencimentos </w:t>
      </w:r>
      <w:r w:rsidR="00DC0829">
        <w:t xml:space="preserve">pagos a outras carreiras típicas de Estado, como as do Ciclo de Gestão, Banco Central e Receita Federal. </w:t>
      </w:r>
      <w:r w:rsidR="00981850">
        <w:t>O gráfico a seguir apresenta a posição da ANEEL em relação a outras carreiras típicas de Estado.</w:t>
      </w:r>
    </w:p>
    <w:p w14:paraId="0FE90AA5" w14:textId="7CFBAF44" w:rsidR="00714226" w:rsidRDefault="00714226" w:rsidP="0085588C">
      <w:pPr>
        <w:ind w:firstLine="708"/>
        <w:jc w:val="both"/>
      </w:pPr>
    </w:p>
    <w:p w14:paraId="5E7FCF38" w14:textId="26817188" w:rsidR="00714226" w:rsidRDefault="00714226" w:rsidP="00714226">
      <w:pPr>
        <w:jc w:val="both"/>
      </w:pPr>
      <w:r w:rsidRPr="00D71C5F">
        <w:rPr>
          <w:noProof/>
        </w:rPr>
        <w:drawing>
          <wp:inline distT="0" distB="0" distL="0" distR="0" wp14:anchorId="4EED403A" wp14:editId="07E429A1">
            <wp:extent cx="5400040" cy="3371215"/>
            <wp:effectExtent l="0" t="0" r="0" b="0"/>
            <wp:docPr id="36" name="Picture 4" descr="Gráfico, Gráfico de caixa estreita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CE94939A-AF6A-F841-2B47-887201021E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Gráfico, Gráfico de caixa estreita&#10;&#10;Descrição gerada automaticamente">
                      <a:extLst>
                        <a:ext uri="{FF2B5EF4-FFF2-40B4-BE49-F238E27FC236}">
                          <a16:creationId xmlns:a16="http://schemas.microsoft.com/office/drawing/2014/main" id="{CE94939A-AF6A-F841-2B47-887201021EC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6DDB44" w14:textId="1E99ACDE" w:rsidR="00714226" w:rsidRPr="00B5374C" w:rsidRDefault="00B5374C" w:rsidP="00B5374C">
      <w:pPr>
        <w:jc w:val="center"/>
        <w:rPr>
          <w:sz w:val="20"/>
          <w:szCs w:val="20"/>
        </w:rPr>
      </w:pPr>
      <w:r w:rsidRPr="0EDF368E">
        <w:rPr>
          <w:sz w:val="20"/>
          <w:szCs w:val="20"/>
        </w:rPr>
        <w:t>Posi</w:t>
      </w:r>
      <w:r w:rsidR="5C889C0A" w:rsidRPr="0EDF368E">
        <w:rPr>
          <w:sz w:val="20"/>
          <w:szCs w:val="20"/>
        </w:rPr>
        <w:t>ção</w:t>
      </w:r>
      <w:r w:rsidRPr="0EDF368E">
        <w:rPr>
          <w:sz w:val="20"/>
          <w:szCs w:val="20"/>
        </w:rPr>
        <w:t xml:space="preserve"> dos Planos de Carreiras da ANEEL e de Outras Carreiras Típicas de Estado</w:t>
      </w:r>
    </w:p>
    <w:p w14:paraId="20DFD9A3" w14:textId="74DBDBE0" w:rsidR="00B5374C" w:rsidRDefault="00B5374C" w:rsidP="0085588C">
      <w:pPr>
        <w:ind w:firstLine="708"/>
        <w:jc w:val="both"/>
      </w:pPr>
    </w:p>
    <w:p w14:paraId="5A632534" w14:textId="4DFD37FC" w:rsidR="00B5374C" w:rsidRDefault="00F33CDD" w:rsidP="00B5374C">
      <w:pPr>
        <w:ind w:firstLine="708"/>
        <w:jc w:val="both"/>
      </w:pPr>
      <w:r>
        <w:t>As</w:t>
      </w:r>
      <w:r w:rsidR="00B5374C">
        <w:t xml:space="preserve"> atribuições </w:t>
      </w:r>
      <w:r>
        <w:t>dos</w:t>
      </w:r>
      <w:r w:rsidR="00B5374C">
        <w:t xml:space="preserve"> servidores das agências reguladoras são </w:t>
      </w:r>
      <w:r>
        <w:t>abrangentes</w:t>
      </w:r>
      <w:r w:rsidR="003F5D3C">
        <w:t xml:space="preserve"> e com nível de complexidade</w:t>
      </w:r>
      <w:r>
        <w:t xml:space="preserve"> </w:t>
      </w:r>
      <w:r w:rsidR="000357CB">
        <w:t>comp</w:t>
      </w:r>
      <w:r w:rsidR="00794357">
        <w:t>aráve</w:t>
      </w:r>
      <w:r w:rsidR="003F5D3C">
        <w:t>l</w:t>
      </w:r>
      <w:r w:rsidR="00794357">
        <w:t xml:space="preserve"> às demais carreiras típicas de Estado. Portanto, por isonomia, </w:t>
      </w:r>
      <w:r w:rsidR="007B1AAF">
        <w:t xml:space="preserve">a posição </w:t>
      </w:r>
      <w:r w:rsidR="00CD6F17">
        <w:t>das carreiras do Ciclo de Regul</w:t>
      </w:r>
      <w:r w:rsidR="0068318B">
        <w:t xml:space="preserve">ação deveria ser igual ou superior a essas carreiras. </w:t>
      </w:r>
      <w:r w:rsidR="00D03533">
        <w:t>O quadro a seguir apresenta uma comparação entre as atribuições das diversas carreiras.</w:t>
      </w:r>
    </w:p>
    <w:p w14:paraId="289711C3" w14:textId="77777777" w:rsidR="00B5374C" w:rsidRDefault="00B5374C" w:rsidP="00B5374C">
      <w:pPr>
        <w:jc w:val="both"/>
      </w:pPr>
    </w:p>
    <w:p w14:paraId="46911F76" w14:textId="77777777" w:rsidR="00B5374C" w:rsidRDefault="00B5374C" w:rsidP="00B5374C">
      <w:pPr>
        <w:jc w:val="center"/>
      </w:pPr>
      <w:r w:rsidRPr="005E2AA2">
        <w:rPr>
          <w:noProof/>
        </w:rPr>
        <w:lastRenderedPageBreak/>
        <w:drawing>
          <wp:inline distT="0" distB="0" distL="0" distR="0" wp14:anchorId="4870BF7E" wp14:editId="286F2582">
            <wp:extent cx="4936273" cy="3428227"/>
            <wp:effectExtent l="0" t="0" r="4445" b="1270"/>
            <wp:docPr id="37" name="Imagem 10" descr="Uma imagem contendo Linha do tempo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0F64FB40-4AA9-2783-ACCF-4A01CD6774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0" descr="Uma imagem contendo Linha do tempo&#10;&#10;Descrição gerada automaticamente">
                      <a:extLst>
                        <a:ext uri="{FF2B5EF4-FFF2-40B4-BE49-F238E27FC236}">
                          <a16:creationId xmlns:a16="http://schemas.microsoft.com/office/drawing/2014/main" id="{0F64FB40-4AA9-2783-ACCF-4A01CD6774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49086" cy="350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F1D48" w14:textId="3A86EDA5" w:rsidR="00B5374C" w:rsidRPr="00B5374C" w:rsidRDefault="00B5374C" w:rsidP="00B5374C">
      <w:pPr>
        <w:jc w:val="center"/>
        <w:rPr>
          <w:sz w:val="20"/>
          <w:szCs w:val="20"/>
        </w:rPr>
      </w:pPr>
      <w:r w:rsidRPr="00B5374C">
        <w:rPr>
          <w:sz w:val="20"/>
          <w:szCs w:val="20"/>
        </w:rPr>
        <w:t>Atribuições dos Servidores das Carreiras Típicas de Estado</w:t>
      </w:r>
    </w:p>
    <w:p w14:paraId="06B91291" w14:textId="77777777" w:rsidR="00B5374C" w:rsidRDefault="00B5374C" w:rsidP="0085588C">
      <w:pPr>
        <w:ind w:firstLine="708"/>
        <w:jc w:val="both"/>
      </w:pPr>
    </w:p>
    <w:p w14:paraId="05BBFF16" w14:textId="345A0FEE" w:rsidR="0085588C" w:rsidRDefault="00D03533" w:rsidP="0085588C">
      <w:pPr>
        <w:ind w:firstLine="708"/>
        <w:jc w:val="both"/>
      </w:pPr>
      <w:r>
        <w:t>Para</w:t>
      </w:r>
      <w:r w:rsidR="00C620A9">
        <w:t xml:space="preserve"> 2024, </w:t>
      </w:r>
      <w:r>
        <w:t>estima-se que</w:t>
      </w:r>
      <w:r w:rsidR="00C620A9">
        <w:t xml:space="preserve"> a </w:t>
      </w:r>
      <w:r>
        <w:t>arrecadação com</w:t>
      </w:r>
      <w:r w:rsidR="00C620A9">
        <w:t xml:space="preserve"> Taxa de Fiscalização dos Serviços de Energia Elétrica – TFSEE </w:t>
      </w:r>
      <w:r>
        <w:t xml:space="preserve">seja </w:t>
      </w:r>
      <w:r w:rsidR="00C620A9">
        <w:t>de R$ 1,22 bilh</w:t>
      </w:r>
      <w:r w:rsidR="00774EAD">
        <w:t>ão</w:t>
      </w:r>
      <w:r w:rsidR="00CA3787">
        <w:t xml:space="preserve">. </w:t>
      </w:r>
      <w:r w:rsidR="00774EAD">
        <w:t xml:space="preserve"> </w:t>
      </w:r>
      <w:r w:rsidR="00CA3787">
        <w:t>T</w:t>
      </w:r>
      <w:r w:rsidR="00C620A9">
        <w:t xml:space="preserve">odavia, o governo </w:t>
      </w:r>
      <w:r w:rsidR="00CA3787">
        <w:t>destinar</w:t>
      </w:r>
      <w:r w:rsidR="006F2117">
        <w:t xml:space="preserve">á </w:t>
      </w:r>
      <w:r w:rsidR="00CF5959">
        <w:t xml:space="preserve">apenas </w:t>
      </w:r>
      <w:r w:rsidR="00B648E5">
        <w:t>R$ 360 milhões</w:t>
      </w:r>
      <w:r w:rsidR="00CF5959">
        <w:t xml:space="preserve"> para a ANEEL</w:t>
      </w:r>
      <w:r w:rsidR="00B648E5">
        <w:t xml:space="preserve">, sendo R$ 150 milhões para despesas discricionárias e R$ 210 milhões </w:t>
      </w:r>
      <w:r w:rsidR="00EA6746">
        <w:t xml:space="preserve">para </w:t>
      </w:r>
      <w:r w:rsidR="00B648E5">
        <w:t xml:space="preserve">custos de pessoal. Considerando que </w:t>
      </w:r>
      <w:r w:rsidR="00C6742B">
        <w:t xml:space="preserve">a ANEEL </w:t>
      </w:r>
      <w:r w:rsidR="00B648E5">
        <w:t xml:space="preserve">arrecada </w:t>
      </w:r>
      <w:r w:rsidR="004C718D">
        <w:t xml:space="preserve">em torno de </w:t>
      </w:r>
      <w:r w:rsidR="00B648E5">
        <w:t>R$ 7 bilhões</w:t>
      </w:r>
      <w:r w:rsidR="004C718D">
        <w:t xml:space="preserve"> por ano</w:t>
      </w:r>
      <w:r w:rsidR="00B648E5">
        <w:t xml:space="preserve">, </w:t>
      </w:r>
      <w:r w:rsidR="00D048C0">
        <w:t xml:space="preserve">o custo operacional da </w:t>
      </w:r>
      <w:r w:rsidR="006E7260">
        <w:t xml:space="preserve">Agência </w:t>
      </w:r>
      <w:r w:rsidR="00D048C0">
        <w:t xml:space="preserve">representa </w:t>
      </w:r>
      <w:r w:rsidR="001047B0">
        <w:t>5,1% d</w:t>
      </w:r>
      <w:r w:rsidR="00134132">
        <w:t xml:space="preserve">isso, </w:t>
      </w:r>
      <w:r w:rsidR="008A3AB9">
        <w:t xml:space="preserve">evidenciando </w:t>
      </w:r>
      <w:r w:rsidR="000C50A3">
        <w:t>a</w:t>
      </w:r>
      <w:r w:rsidR="00B648E5">
        <w:t xml:space="preserve"> desproporcionalidade </w:t>
      </w:r>
      <w:r w:rsidR="000C50A3">
        <w:t xml:space="preserve">entre o valor investido na </w:t>
      </w:r>
      <w:r w:rsidR="00F4124A">
        <w:t>A</w:t>
      </w:r>
      <w:r w:rsidR="000C50A3">
        <w:t xml:space="preserve">gência e o </w:t>
      </w:r>
      <w:r w:rsidR="00473ED6">
        <w:t>montante arrecado por meio dela</w:t>
      </w:r>
      <w:r w:rsidR="00AB09C0">
        <w:t xml:space="preserve">. </w:t>
      </w:r>
      <w:r w:rsidR="00473ED6">
        <w:t xml:space="preserve"> </w:t>
      </w:r>
    </w:p>
    <w:p w14:paraId="4E991F52" w14:textId="7865DC5F" w:rsidR="0085588C" w:rsidRDefault="0085588C" w:rsidP="0085588C">
      <w:pPr>
        <w:ind w:firstLine="708"/>
        <w:jc w:val="both"/>
      </w:pPr>
    </w:p>
    <w:p w14:paraId="02CEC925" w14:textId="41BE40F4" w:rsidR="00B648E5" w:rsidRDefault="005554F1" w:rsidP="005554F1">
      <w:pPr>
        <w:jc w:val="both"/>
      </w:pPr>
      <w:r>
        <w:rPr>
          <w:noProof/>
        </w:rPr>
        <w:drawing>
          <wp:inline distT="0" distB="0" distL="0" distR="0" wp14:anchorId="3ACE97E6" wp14:editId="72B4569A">
            <wp:extent cx="5400040" cy="1993265"/>
            <wp:effectExtent l="0" t="0" r="0" b="635"/>
            <wp:docPr id="34" name="Imagem 34" descr="Interface gráfica do usuári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m 34" descr="Interface gráfica do usuário&#10;&#10;Descrição gerada automaticamente com confiança média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26707" w14:textId="6557A031" w:rsidR="00FA354B" w:rsidRPr="00B5374C" w:rsidRDefault="005554F1" w:rsidP="00B5374C">
      <w:pPr>
        <w:jc w:val="center"/>
        <w:rPr>
          <w:sz w:val="20"/>
          <w:szCs w:val="20"/>
        </w:rPr>
      </w:pPr>
      <w:r w:rsidRPr="005554F1">
        <w:rPr>
          <w:sz w:val="20"/>
          <w:szCs w:val="20"/>
        </w:rPr>
        <w:t>Arrecadação da ANEEL VS Orçamento da ANEEL</w:t>
      </w:r>
    </w:p>
    <w:p w14:paraId="362CF9B3" w14:textId="77777777" w:rsidR="005554F1" w:rsidRDefault="005554F1" w:rsidP="005554F1">
      <w:pPr>
        <w:jc w:val="both"/>
      </w:pPr>
    </w:p>
    <w:p w14:paraId="2662E4E8" w14:textId="1E3408C7" w:rsidR="006C57B1" w:rsidRDefault="002E036E" w:rsidP="009824BE">
      <w:pPr>
        <w:ind w:firstLine="708"/>
        <w:jc w:val="both"/>
      </w:pPr>
      <w:r>
        <w:t>Nos últimos meses</w:t>
      </w:r>
      <w:r w:rsidR="00AC33F0">
        <w:t xml:space="preserve">, </w:t>
      </w:r>
      <w:r w:rsidR="00AB09C0">
        <w:t xml:space="preserve">especialmente após </w:t>
      </w:r>
      <w:r w:rsidR="00AC33F0">
        <w:t>8 de maio,</w:t>
      </w:r>
      <w:r w:rsidR="002F2581">
        <w:t xml:space="preserve"> quando foi deliberado o início da Operação Valoriza Regulação, os</w:t>
      </w:r>
      <w:r w:rsidR="00AC33F0">
        <w:t xml:space="preserve"> </w:t>
      </w:r>
      <w:r w:rsidR="00AC33F0" w:rsidRPr="005E4B80">
        <w:rPr>
          <w:i/>
        </w:rPr>
        <w:t>st</w:t>
      </w:r>
      <w:r w:rsidR="00B5793B" w:rsidRPr="005E4B80">
        <w:rPr>
          <w:i/>
        </w:rPr>
        <w:t>a</w:t>
      </w:r>
      <w:r w:rsidR="00AC33F0" w:rsidRPr="005E4B80">
        <w:rPr>
          <w:i/>
        </w:rPr>
        <w:t>k</w:t>
      </w:r>
      <w:r w:rsidR="00156E25" w:rsidRPr="005E4B80">
        <w:rPr>
          <w:i/>
        </w:rPr>
        <w:t>e</w:t>
      </w:r>
      <w:r w:rsidR="00AC33F0" w:rsidRPr="005E4B80">
        <w:rPr>
          <w:i/>
        </w:rPr>
        <w:t>holders</w:t>
      </w:r>
      <w:r w:rsidR="00AC33F0">
        <w:t xml:space="preserve"> setoriais e a sociedade brasileira </w:t>
      </w:r>
      <w:r w:rsidR="009D5CCF">
        <w:t xml:space="preserve">passaram a perceber </w:t>
      </w:r>
      <w:r w:rsidR="00F465D3">
        <w:t xml:space="preserve">a </w:t>
      </w:r>
      <w:r w:rsidR="00AC33F0">
        <w:t xml:space="preserve">condição precária </w:t>
      </w:r>
      <w:r w:rsidR="0064756E">
        <w:t xml:space="preserve">da </w:t>
      </w:r>
      <w:r w:rsidR="00B5374C">
        <w:t>ANEEL.</w:t>
      </w:r>
    </w:p>
    <w:p w14:paraId="0EB813B7" w14:textId="77EA77EC" w:rsidR="00EB3DD9" w:rsidRDefault="00AC33F0" w:rsidP="00B5374C">
      <w:pPr>
        <w:ind w:firstLine="708"/>
        <w:jc w:val="both"/>
      </w:pPr>
      <w:r>
        <w:t xml:space="preserve">Situações </w:t>
      </w:r>
      <w:r w:rsidR="00B263B2">
        <w:t xml:space="preserve">antes </w:t>
      </w:r>
      <w:r>
        <w:t xml:space="preserve">debatidas </w:t>
      </w:r>
      <w:r w:rsidR="00B263B2">
        <w:t xml:space="preserve">internamente </w:t>
      </w:r>
      <w:r w:rsidR="00DB3446">
        <w:t xml:space="preserve">agora são </w:t>
      </w:r>
      <w:r>
        <w:t>compartilhadas e recebidas com preocupação pelo setor regulado.</w:t>
      </w:r>
      <w:r w:rsidR="00B5374C">
        <w:t xml:space="preserve"> </w:t>
      </w:r>
    </w:p>
    <w:p w14:paraId="6F0C65D4" w14:textId="7D5DF0DD" w:rsidR="00B5374C" w:rsidRDefault="00C95CBD" w:rsidP="00B5374C">
      <w:pPr>
        <w:ind w:firstLine="708"/>
        <w:jc w:val="both"/>
      </w:pPr>
      <w:r>
        <w:lastRenderedPageBreak/>
        <w:t>A</w:t>
      </w:r>
      <w:r w:rsidR="00B5374C">
        <w:t xml:space="preserve"> adequação das demandas da agência à </w:t>
      </w:r>
      <w:r w:rsidR="00FE6C3A">
        <w:t xml:space="preserve">sua </w:t>
      </w:r>
      <w:r w:rsidR="00B5374C">
        <w:t xml:space="preserve">força de trabalho </w:t>
      </w:r>
      <w:r>
        <w:t xml:space="preserve">tem afetado diversas </w:t>
      </w:r>
      <w:r w:rsidR="00B5374C">
        <w:t xml:space="preserve">atividades que eram </w:t>
      </w:r>
      <w:r w:rsidR="00B83B7A">
        <w:t>realizadas sob o sacrifício e exaustão dos servidores da ANEEL</w:t>
      </w:r>
      <w:r w:rsidR="00EF5F76">
        <w:t xml:space="preserve">. Essa adequação </w:t>
      </w:r>
      <w:r w:rsidR="00943401">
        <w:t xml:space="preserve">já está </w:t>
      </w:r>
      <w:r w:rsidR="00B83B7A">
        <w:t>acarreta</w:t>
      </w:r>
      <w:r w:rsidR="00943401">
        <w:t>ndo</w:t>
      </w:r>
      <w:r w:rsidR="00B83B7A">
        <w:t xml:space="preserve"> cancelamentos e postergações de prazos </w:t>
      </w:r>
      <w:r w:rsidR="009A21E4">
        <w:t xml:space="preserve">de diversas atividades </w:t>
      </w:r>
      <w:r>
        <w:t>como, por exemplo, para</w:t>
      </w:r>
      <w:r w:rsidR="00B83B7A">
        <w:t>:</w:t>
      </w:r>
    </w:p>
    <w:p w14:paraId="0ACE4254" w14:textId="281929E2" w:rsidR="00B83B7A" w:rsidRDefault="00C95CBD" w:rsidP="00C95CBD">
      <w:pPr>
        <w:pStyle w:val="PargrafodaLista"/>
        <w:numPr>
          <w:ilvl w:val="0"/>
          <w:numId w:val="2"/>
        </w:numPr>
        <w:jc w:val="both"/>
      </w:pPr>
      <w:r>
        <w:t xml:space="preserve">Realização </w:t>
      </w:r>
      <w:r w:rsidR="00B83B7A">
        <w:t>de reuniões;</w:t>
      </w:r>
    </w:p>
    <w:p w14:paraId="415238D4" w14:textId="468D73CC" w:rsidR="00B83B7A" w:rsidRDefault="00B83B7A" w:rsidP="00C95CBD">
      <w:pPr>
        <w:pStyle w:val="PargrafodaLista"/>
        <w:numPr>
          <w:ilvl w:val="0"/>
          <w:numId w:val="2"/>
        </w:numPr>
        <w:jc w:val="both"/>
      </w:pPr>
      <w:r>
        <w:t xml:space="preserve">Distribuição de </w:t>
      </w:r>
      <w:r w:rsidR="00FE6C3A">
        <w:t>r</w:t>
      </w:r>
      <w:r>
        <w:t>oyalties setoriais;</w:t>
      </w:r>
    </w:p>
    <w:p w14:paraId="21AB32B0" w14:textId="1948A546" w:rsidR="00B83B7A" w:rsidRDefault="001E44E4" w:rsidP="00C95CBD">
      <w:pPr>
        <w:pStyle w:val="PargrafodaLista"/>
        <w:numPr>
          <w:ilvl w:val="0"/>
          <w:numId w:val="2"/>
        </w:numPr>
        <w:jc w:val="both"/>
      </w:pPr>
      <w:r>
        <w:t xml:space="preserve">Atualização de </w:t>
      </w:r>
      <w:r w:rsidR="00FE6C3A">
        <w:t>painéis</w:t>
      </w:r>
      <w:r>
        <w:t xml:space="preserve"> </w:t>
      </w:r>
      <w:proofErr w:type="spellStart"/>
      <w:r>
        <w:t>PowerBi</w:t>
      </w:r>
      <w:proofErr w:type="spellEnd"/>
      <w:r>
        <w:t xml:space="preserve"> e d</w:t>
      </w:r>
      <w:r w:rsidR="00B83B7A">
        <w:t>ivulgação de dados</w:t>
      </w:r>
      <w:r w:rsidR="00147588">
        <w:t xml:space="preserve"> abertos da ANEEL e</w:t>
      </w:r>
      <w:r w:rsidR="00B83B7A">
        <w:t xml:space="preserve"> setoriais;</w:t>
      </w:r>
    </w:p>
    <w:p w14:paraId="7AD6A469" w14:textId="56CF54D3" w:rsidR="00B83B7A" w:rsidRDefault="00B83B7A" w:rsidP="00C95CBD">
      <w:pPr>
        <w:pStyle w:val="PargrafodaLista"/>
        <w:numPr>
          <w:ilvl w:val="0"/>
          <w:numId w:val="2"/>
        </w:numPr>
        <w:jc w:val="both"/>
      </w:pPr>
      <w:r>
        <w:t>Análises de pleitos e demandas setoriais</w:t>
      </w:r>
      <w:r w:rsidR="00C95CBD">
        <w:t xml:space="preserve"> como, por exemplo, resolução de situações de risco de corte de carga em regime normal de operação que afetariam usuários e consumidores do SIN, como grandes produtores agrícolas</w:t>
      </w:r>
      <w:r>
        <w:t>;</w:t>
      </w:r>
    </w:p>
    <w:p w14:paraId="6AF617B0" w14:textId="388580C7" w:rsidR="00C1372B" w:rsidRDefault="00C1372B" w:rsidP="00C1372B">
      <w:pPr>
        <w:pStyle w:val="PargrafodaLista"/>
        <w:numPr>
          <w:ilvl w:val="0"/>
          <w:numId w:val="2"/>
        </w:numPr>
        <w:jc w:val="both"/>
      </w:pPr>
      <w:r>
        <w:t>Revisão e reajuste tarifário de agentes setoriais;</w:t>
      </w:r>
    </w:p>
    <w:p w14:paraId="73844E10" w14:textId="5866D512" w:rsidR="00B83B7A" w:rsidRDefault="00B83B7A" w:rsidP="00C95CBD">
      <w:pPr>
        <w:pStyle w:val="PargrafodaLista"/>
        <w:numPr>
          <w:ilvl w:val="0"/>
          <w:numId w:val="2"/>
        </w:numPr>
        <w:jc w:val="both"/>
      </w:pPr>
      <w:r>
        <w:t>Emissões de Declarações de Utilidade Pública – DUP</w:t>
      </w:r>
      <w:r w:rsidR="00C95CBD">
        <w:t>;</w:t>
      </w:r>
    </w:p>
    <w:p w14:paraId="1E39A7D2" w14:textId="7C08F05F" w:rsidR="00B83B7A" w:rsidRDefault="00B83B7A" w:rsidP="00C95CBD">
      <w:pPr>
        <w:pStyle w:val="PargrafodaLista"/>
        <w:numPr>
          <w:ilvl w:val="0"/>
          <w:numId w:val="2"/>
        </w:numPr>
        <w:jc w:val="both"/>
      </w:pPr>
      <w:r>
        <w:t>Atendimento a demandas vindas pela Lei de Acesso à Informação – LAI</w:t>
      </w:r>
      <w:r w:rsidR="00C95CBD">
        <w:t>;</w:t>
      </w:r>
    </w:p>
    <w:p w14:paraId="7759702E" w14:textId="18271552" w:rsidR="001E44E4" w:rsidRDefault="00C95CBD" w:rsidP="00C95CBD">
      <w:pPr>
        <w:pStyle w:val="PargrafodaLista"/>
        <w:numPr>
          <w:ilvl w:val="0"/>
          <w:numId w:val="2"/>
        </w:numPr>
        <w:jc w:val="both"/>
      </w:pPr>
      <w:r>
        <w:t>Realização de s</w:t>
      </w:r>
      <w:r w:rsidR="00B83B7A">
        <w:t>emin</w:t>
      </w:r>
      <w:r>
        <w:t>ários e workshop</w:t>
      </w:r>
      <w:r w:rsidR="001E44E4">
        <w:t>s</w:t>
      </w:r>
      <w:r>
        <w:t xml:space="preserve"> organizados pela agência; </w:t>
      </w:r>
    </w:p>
    <w:p w14:paraId="32D46924" w14:textId="31D052AD" w:rsidR="00C1372B" w:rsidRDefault="001E44E4" w:rsidP="00C95CBD">
      <w:pPr>
        <w:pStyle w:val="PargrafodaLista"/>
        <w:numPr>
          <w:ilvl w:val="0"/>
          <w:numId w:val="2"/>
        </w:numPr>
        <w:jc w:val="both"/>
      </w:pPr>
      <w:r>
        <w:t>Deliberações da Diretoria;</w:t>
      </w:r>
      <w:r w:rsidR="00A43F82">
        <w:t xml:space="preserve"> e</w:t>
      </w:r>
    </w:p>
    <w:p w14:paraId="60BC10C1" w14:textId="4328934B" w:rsidR="00C95CBD" w:rsidRDefault="005E07AF" w:rsidP="00943401">
      <w:pPr>
        <w:pStyle w:val="PargrafodaLista"/>
        <w:numPr>
          <w:ilvl w:val="0"/>
          <w:numId w:val="2"/>
        </w:numPr>
        <w:jc w:val="both"/>
      </w:pPr>
      <w:r>
        <w:t>Autorizações e outorgas de empreendimentos.</w:t>
      </w:r>
    </w:p>
    <w:p w14:paraId="28A891B9" w14:textId="1D0DB087" w:rsidR="00B83B7A" w:rsidRDefault="00C95CBD" w:rsidP="00B5374C">
      <w:pPr>
        <w:ind w:firstLine="708"/>
        <w:jc w:val="both"/>
      </w:pPr>
      <w:r>
        <w:t xml:space="preserve">Adicionalmente, a manutenção desse cenário, sem perspectivas de solução junto </w:t>
      </w:r>
      <w:r w:rsidR="005F6AAC">
        <w:t>a</w:t>
      </w:r>
      <w:r>
        <w:t>o governo, pode impactar outras atividades como, por exemplo:</w:t>
      </w:r>
    </w:p>
    <w:p w14:paraId="12225C41" w14:textId="0DED87BC" w:rsidR="00C95CBD" w:rsidRPr="00C95CBD" w:rsidRDefault="00B83B7A" w:rsidP="00C95CBD">
      <w:pPr>
        <w:pStyle w:val="PargrafodaLista"/>
        <w:numPr>
          <w:ilvl w:val="0"/>
          <w:numId w:val="2"/>
        </w:numPr>
        <w:jc w:val="both"/>
      </w:pPr>
      <w:r w:rsidRPr="00C95CBD">
        <w:rPr>
          <w:rFonts w:ascii="Segoe UI Symbol" w:hAnsi="Segoe UI Symbol" w:cs="Segoe UI Symbol"/>
        </w:rPr>
        <w:t>⁠</w:t>
      </w:r>
      <w:r w:rsidR="00C95CBD">
        <w:t>Regulamentação da MP 1212, de 2024, referente à prorrogação de subsídios para geradores;</w:t>
      </w:r>
    </w:p>
    <w:p w14:paraId="3BA500C0" w14:textId="6C7CEE11" w:rsidR="00B83B7A" w:rsidRDefault="00B83B7A" w:rsidP="00C95CBD">
      <w:pPr>
        <w:pStyle w:val="PargrafodaLista"/>
        <w:numPr>
          <w:ilvl w:val="0"/>
          <w:numId w:val="2"/>
        </w:numPr>
        <w:jc w:val="both"/>
      </w:pPr>
      <w:r>
        <w:t>Regulamentação da MP 1232, de 2024, referente à distribuição de energia no Estado do Amazonas</w:t>
      </w:r>
      <w:r w:rsidR="00C95CBD">
        <w:t>;</w:t>
      </w:r>
    </w:p>
    <w:p w14:paraId="441A9879" w14:textId="399B03CA" w:rsidR="00B83B7A" w:rsidRDefault="00B83B7A" w:rsidP="00C95CBD">
      <w:pPr>
        <w:pStyle w:val="PargrafodaLista"/>
        <w:numPr>
          <w:ilvl w:val="0"/>
          <w:numId w:val="2"/>
        </w:numPr>
        <w:jc w:val="both"/>
      </w:pPr>
      <w:r>
        <w:t>Regulamentação do Decreto nº 12.068, de 202e, referente à renovação das concessões de distribuição</w:t>
      </w:r>
      <w:r w:rsidR="00C95CBD">
        <w:t>;</w:t>
      </w:r>
    </w:p>
    <w:p w14:paraId="16480CE7" w14:textId="0012B4BC" w:rsidR="005F6AAC" w:rsidRDefault="00147588" w:rsidP="005F6AAC">
      <w:pPr>
        <w:pStyle w:val="PargrafodaLista"/>
        <w:numPr>
          <w:ilvl w:val="0"/>
          <w:numId w:val="2"/>
        </w:numPr>
        <w:jc w:val="both"/>
      </w:pPr>
      <w:r>
        <w:t>Realização de audiências e consultas públicas;</w:t>
      </w:r>
    </w:p>
    <w:p w14:paraId="40B77C5D" w14:textId="63EA8B3B" w:rsidR="00C95CBD" w:rsidRDefault="001E44E4" w:rsidP="00C95CBD">
      <w:pPr>
        <w:pStyle w:val="PargrafodaLista"/>
        <w:numPr>
          <w:ilvl w:val="0"/>
          <w:numId w:val="2"/>
        </w:numPr>
        <w:jc w:val="both"/>
      </w:pPr>
      <w:r>
        <w:t>Elaboração e i</w:t>
      </w:r>
      <w:r w:rsidR="00C1372B">
        <w:t>mplantação de sistemas de formulário d</w:t>
      </w:r>
      <w:r>
        <w:t>e</w:t>
      </w:r>
      <w:r w:rsidR="00C1372B">
        <w:t xml:space="preserve"> REIDI;</w:t>
      </w:r>
    </w:p>
    <w:p w14:paraId="73764398" w14:textId="117D805D" w:rsidR="00B83B7A" w:rsidRDefault="00B83B7A" w:rsidP="00C95CBD">
      <w:pPr>
        <w:pStyle w:val="PargrafodaLista"/>
        <w:numPr>
          <w:ilvl w:val="0"/>
          <w:numId w:val="2"/>
        </w:numPr>
        <w:jc w:val="both"/>
      </w:pPr>
      <w:r w:rsidRPr="00C95CBD">
        <w:rPr>
          <w:rFonts w:ascii="Segoe UI Symbol" w:hAnsi="Segoe UI Symbol" w:cs="Segoe UI Symbol"/>
        </w:rPr>
        <w:t>⁠</w:t>
      </w:r>
      <w:r>
        <w:t>Liberação do Plano Anual de Aplicação de Recursos PAR - PROCEL</w:t>
      </w:r>
      <w:r w:rsidR="001E44E4">
        <w:t>;</w:t>
      </w:r>
    </w:p>
    <w:p w14:paraId="7CF048FC" w14:textId="68AC360F" w:rsidR="001E44E4" w:rsidRDefault="00B83B7A" w:rsidP="00C95CBD">
      <w:pPr>
        <w:pStyle w:val="PargrafodaLista"/>
        <w:numPr>
          <w:ilvl w:val="0"/>
          <w:numId w:val="2"/>
        </w:numPr>
        <w:jc w:val="both"/>
      </w:pPr>
      <w:r>
        <w:t>Chamada Pública do Hidrogênio Verde</w:t>
      </w:r>
      <w:r w:rsidR="001E44E4">
        <w:t>;</w:t>
      </w:r>
    </w:p>
    <w:p w14:paraId="31A2CC45" w14:textId="254F9384" w:rsidR="005F6AAC" w:rsidRDefault="005F6AAC" w:rsidP="00C95CBD">
      <w:pPr>
        <w:pStyle w:val="PargrafodaLista"/>
        <w:numPr>
          <w:ilvl w:val="0"/>
          <w:numId w:val="2"/>
        </w:numPr>
        <w:jc w:val="both"/>
      </w:pPr>
      <w:r>
        <w:t>Sistemas e processos de georreferenciamento realizados na agência;</w:t>
      </w:r>
    </w:p>
    <w:p w14:paraId="1B0C083F" w14:textId="22D03CCA" w:rsidR="00B83B7A" w:rsidRDefault="001E44E4" w:rsidP="00C95CBD">
      <w:pPr>
        <w:pStyle w:val="PargrafodaLista"/>
        <w:numPr>
          <w:ilvl w:val="0"/>
          <w:numId w:val="2"/>
        </w:numPr>
        <w:jc w:val="both"/>
      </w:pPr>
      <w:r>
        <w:t>Compensações financeiras na Distribuição; e</w:t>
      </w:r>
    </w:p>
    <w:p w14:paraId="5D01992B" w14:textId="7E853D97" w:rsidR="00B83B7A" w:rsidRDefault="00A43F82" w:rsidP="00FC66C2">
      <w:pPr>
        <w:pStyle w:val="PargrafodaLista"/>
        <w:numPr>
          <w:ilvl w:val="0"/>
          <w:numId w:val="2"/>
        </w:numPr>
        <w:jc w:val="both"/>
      </w:pPr>
      <w:r>
        <w:t>Entrada em operação comercial de agentes setoriais</w:t>
      </w:r>
      <w:r w:rsidR="001E44E4">
        <w:t>.</w:t>
      </w:r>
    </w:p>
    <w:p w14:paraId="7C4752D8" w14:textId="0A1992A7" w:rsidR="00AC33F0" w:rsidRDefault="00FC66C2" w:rsidP="00AC33F0">
      <w:pPr>
        <w:ind w:firstLine="708"/>
        <w:jc w:val="both"/>
      </w:pPr>
      <w:r>
        <w:t>Assim, atualmente</w:t>
      </w:r>
      <w:r w:rsidR="00AC33F0">
        <w:t xml:space="preserve">, o contingenciamento orçamentário, </w:t>
      </w:r>
      <w:r w:rsidR="00085510">
        <w:t>a defasagem d</w:t>
      </w:r>
      <w:r w:rsidR="00AC33F0">
        <w:t xml:space="preserve">os planos de carreira </w:t>
      </w:r>
      <w:r w:rsidR="005F6AAC">
        <w:t>com relação a</w:t>
      </w:r>
      <w:r w:rsidR="006C57B1">
        <w:t>os planos da</w:t>
      </w:r>
      <w:r w:rsidR="00AC33F0">
        <w:t>s demais carreiras típicas de Estado e</w:t>
      </w:r>
      <w:r w:rsidR="00181537">
        <w:t>,</w:t>
      </w:r>
      <w:r w:rsidR="00AC33F0">
        <w:t xml:space="preserve"> a consequente </w:t>
      </w:r>
      <w:r w:rsidR="00AA397C">
        <w:t xml:space="preserve">evasão e </w:t>
      </w:r>
      <w:r w:rsidR="00AC33F0">
        <w:t>redução dos quadros de servidores d</w:t>
      </w:r>
      <w:r w:rsidR="28C7EDBE">
        <w:t>a ANEEL</w:t>
      </w:r>
      <w:r w:rsidR="00181537">
        <w:t>,</w:t>
      </w:r>
      <w:r w:rsidR="00AC33F0">
        <w:t xml:space="preserve"> não são novidades </w:t>
      </w:r>
      <w:r w:rsidR="005F6AAC">
        <w:t>para o setor</w:t>
      </w:r>
      <w:r w:rsidR="00AC33F0">
        <w:t xml:space="preserve">. Pelo contrário, esses assuntos têm sido debatidos com cada vez mais intensidade e frequência entre todos que atuam no setor </w:t>
      </w:r>
      <w:r w:rsidR="32F8F62F">
        <w:t>elétrico</w:t>
      </w:r>
      <w:r w:rsidR="00AC33F0">
        <w:t>.</w:t>
      </w:r>
    </w:p>
    <w:p w14:paraId="07F79D56" w14:textId="25B646CD" w:rsidR="00AC4057" w:rsidRDefault="00AC4057" w:rsidP="00AC33F0">
      <w:pPr>
        <w:ind w:firstLine="708"/>
        <w:jc w:val="both"/>
      </w:pPr>
      <w:r>
        <w:t xml:space="preserve">Diante do exposto, a Operação Valoriza Regulação pode ser entendida como uma campanha realizada pelos servidores das agências reguladoras que </w:t>
      </w:r>
      <w:r w:rsidR="2B5568A8">
        <w:t>traz</w:t>
      </w:r>
      <w:r>
        <w:t xml:space="preserve"> luz à condição precária vivida por essas autarquias especiais</w:t>
      </w:r>
      <w:r w:rsidR="00FE58C5">
        <w:t xml:space="preserve"> e que tem</w:t>
      </w:r>
      <w:r>
        <w:t xml:space="preserve"> o objetivo </w:t>
      </w:r>
      <w:r w:rsidR="00FE58C5">
        <w:t xml:space="preserve">de </w:t>
      </w:r>
      <w:r>
        <w:t xml:space="preserve">sensibilizar o </w:t>
      </w:r>
      <w:r>
        <w:lastRenderedPageBreak/>
        <w:t>governo</w:t>
      </w:r>
      <w:r w:rsidR="00FE58C5">
        <w:t>, agentes setoriais</w:t>
      </w:r>
      <w:r>
        <w:t xml:space="preserve"> e toda sociedade</w:t>
      </w:r>
      <w:r w:rsidR="00FE58C5">
        <w:t xml:space="preserve"> brasileira</w:t>
      </w:r>
      <w:r>
        <w:t xml:space="preserve"> quanto à necessidade de</w:t>
      </w:r>
      <w:r w:rsidR="00FE58C5">
        <w:t xml:space="preserve"> valorização e fortalecimento imediato do quadro de servidores d</w:t>
      </w:r>
      <w:r w:rsidR="3E282146">
        <w:t>ess</w:t>
      </w:r>
      <w:r w:rsidR="00FE58C5">
        <w:t>as agências</w:t>
      </w:r>
      <w:r w:rsidR="46B93FCD">
        <w:t xml:space="preserve"> mediante o atendimento da pauta deliberada em assembleia do Sinagências.</w:t>
      </w:r>
    </w:p>
    <w:p w14:paraId="16007BB1" w14:textId="77777777" w:rsidR="00CC7FB4" w:rsidRDefault="00B84349" w:rsidP="00B84349">
      <w:pPr>
        <w:ind w:firstLine="708"/>
        <w:jc w:val="both"/>
      </w:pPr>
      <w:r w:rsidRPr="00B84349">
        <w:t>O governo, ao reconhecer nosso valor e posicionar a remuneração das carreiras dos servidores da regulação federal junto às demais carreiras típicas de Estado, como as do Ciclo de Gestão, Banco Central e Receita Federal, evitará a intensificação da Operação Valoriza Regulação (ou uma eventual greve) e auxiliará a resolver a evasão do qualificado quadro desses servidores.</w:t>
      </w:r>
      <w:r w:rsidR="00D733D0">
        <w:t xml:space="preserve"> </w:t>
      </w:r>
    </w:p>
    <w:p w14:paraId="3C4A6413" w14:textId="5B0C6BC4" w:rsidR="00B84349" w:rsidRPr="00B84349" w:rsidRDefault="00D733D0" w:rsidP="00B84349">
      <w:pPr>
        <w:ind w:firstLine="708"/>
        <w:jc w:val="both"/>
      </w:pPr>
      <w:r>
        <w:t>Na ANEEL, o custo anual dessa paut</w:t>
      </w:r>
      <w:r w:rsidR="00C04A1F">
        <w:t>a,</w:t>
      </w:r>
      <w:r w:rsidR="00D439A9">
        <w:t xml:space="preserve"> em torno de R$ 12</w:t>
      </w:r>
      <w:r w:rsidR="008C4B28">
        <w:t>5</w:t>
      </w:r>
      <w:r w:rsidR="00D439A9">
        <w:t xml:space="preserve"> milhões, </w:t>
      </w:r>
      <w:r w:rsidR="006D7D1F">
        <w:t xml:space="preserve">atualmente, </w:t>
      </w:r>
      <w:r w:rsidR="00C04A1F">
        <w:t xml:space="preserve">já </w:t>
      </w:r>
      <w:r w:rsidR="00586E28">
        <w:t>consegue ser</w:t>
      </w:r>
      <w:r w:rsidR="00C04A1F">
        <w:t xml:space="preserve"> coberto pel</w:t>
      </w:r>
      <w:r w:rsidR="006D7D1F">
        <w:t xml:space="preserve">o </w:t>
      </w:r>
      <w:r w:rsidR="00752FFE">
        <w:t>montante de R$ 860 milhões que</w:t>
      </w:r>
      <w:r w:rsidR="006D7D1F">
        <w:t xml:space="preserve"> </w:t>
      </w:r>
      <w:r w:rsidR="00E515B6">
        <w:t>sobra</w:t>
      </w:r>
      <w:r w:rsidR="006D7D1F">
        <w:t xml:space="preserve"> d</w:t>
      </w:r>
      <w:r w:rsidR="008C4B28">
        <w:t xml:space="preserve">o valor </w:t>
      </w:r>
      <w:r w:rsidR="003F72CD">
        <w:t xml:space="preserve">anual </w:t>
      </w:r>
      <w:r w:rsidR="008C4B28">
        <w:t>arrecadado pela TFSEE</w:t>
      </w:r>
      <w:r w:rsidR="0042663B">
        <w:t xml:space="preserve"> (R$</w:t>
      </w:r>
      <w:r w:rsidR="00213F95">
        <w:t> </w:t>
      </w:r>
      <w:r w:rsidR="0042663B">
        <w:t xml:space="preserve">1,22 bilhões) </w:t>
      </w:r>
      <w:r w:rsidR="00213F95">
        <w:t>subtraído do custo</w:t>
      </w:r>
      <w:r w:rsidR="003F72CD">
        <w:t xml:space="preserve"> anual</w:t>
      </w:r>
      <w:r w:rsidR="00213F95">
        <w:t xml:space="preserve"> operacional total da agência (R$ 360 milhões)</w:t>
      </w:r>
      <w:r w:rsidR="00E467BE">
        <w:t>.</w:t>
      </w:r>
      <w:r w:rsidR="00213F95">
        <w:t xml:space="preserve"> </w:t>
      </w:r>
      <w:r w:rsidR="00F7376F">
        <w:t>Se além de atender esse pleito, o governo também recompusesse o quadro da agência, esse custo anual seria de R$ 170 milhões.</w:t>
      </w:r>
    </w:p>
    <w:p w14:paraId="5789847F" w14:textId="6B6BF5F0" w:rsidR="00FC3DCA" w:rsidRDefault="00B84349" w:rsidP="00A2451F">
      <w:pPr>
        <w:ind w:firstLine="708"/>
        <w:jc w:val="both"/>
      </w:pPr>
      <w:r w:rsidRPr="00B84349">
        <w:t>Além da pauta remuneratória, esperamos que a proposta também avance em outros pontos, como a reorganização das carreiras, atualização dos nomes dos cargos, transversalidade de atuação e a definição de requisito de acesso de nível superior para todos os cargos, a exemplo do que vem sendo conquistado por categorias de outros Poderes.</w:t>
      </w:r>
    </w:p>
    <w:p w14:paraId="79BD8F15" w14:textId="0C4B5EE3" w:rsidR="00C620A9" w:rsidRDefault="00AA397C" w:rsidP="00AA397C">
      <w:pPr>
        <w:jc w:val="both"/>
      </w:pPr>
      <w:r>
        <w:tab/>
      </w:r>
      <w:r w:rsidR="002D6EC7">
        <w:t>Por fim, pedimos e contamos com a sua colaboração para conscientizar todos a respeito da Operação Valoriza Regulação, principalmente, o governo nas instituições da Presidência, Senado, Parlamento, Casa Civil, Ministério da Gestão e da Inovação em Serviços Públicos - MGI, Ministério da Fazenda - MF e Ministério de Minas e Energia - MME do executivo federal</w:t>
      </w:r>
      <w:r w:rsidR="002D6EC7">
        <w:t>.</w:t>
      </w:r>
    </w:p>
    <w:p w14:paraId="11E3B528" w14:textId="67A98344" w:rsidR="00A264FE" w:rsidRDefault="00A264FE" w:rsidP="00AA397C">
      <w:pPr>
        <w:jc w:val="both"/>
      </w:pPr>
    </w:p>
    <w:p w14:paraId="6D1DA955" w14:textId="048455C7" w:rsidR="00A264FE" w:rsidRDefault="00A264FE" w:rsidP="00AA397C">
      <w:pPr>
        <w:jc w:val="both"/>
      </w:pPr>
      <w:r>
        <w:tab/>
      </w:r>
      <w:r w:rsidR="503333AF">
        <w:t xml:space="preserve">O Brasil agradece sua </w:t>
      </w:r>
      <w:r w:rsidR="00F21A76">
        <w:t>solidariedade</w:t>
      </w:r>
      <w:r w:rsidR="503333AF">
        <w:t>.</w:t>
      </w:r>
    </w:p>
    <w:p w14:paraId="289BA58A" w14:textId="762A6BC8" w:rsidR="00A264FE" w:rsidRDefault="00A264FE" w:rsidP="00AA397C">
      <w:pPr>
        <w:jc w:val="both"/>
      </w:pPr>
    </w:p>
    <w:p w14:paraId="5475D0E4" w14:textId="688FDDF0" w:rsidR="00A264FE" w:rsidRDefault="00A264FE" w:rsidP="00AA397C">
      <w:pPr>
        <w:jc w:val="both"/>
      </w:pPr>
      <w:r>
        <w:tab/>
        <w:t>ASEA.</w:t>
      </w:r>
    </w:p>
    <w:sectPr w:rsidR="00A264F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065359"/>
    <w:multiLevelType w:val="hybridMultilevel"/>
    <w:tmpl w:val="64EE7628"/>
    <w:lvl w:ilvl="0" w:tplc="0416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4F401671"/>
    <w:multiLevelType w:val="hybridMultilevel"/>
    <w:tmpl w:val="39D65576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848401790">
    <w:abstractNumId w:val="0"/>
  </w:num>
  <w:num w:numId="2" w16cid:durableId="4710235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5EB"/>
    <w:rsid w:val="000042C1"/>
    <w:rsid w:val="000077C3"/>
    <w:rsid w:val="000103AB"/>
    <w:rsid w:val="000264B9"/>
    <w:rsid w:val="0003130C"/>
    <w:rsid w:val="000357CB"/>
    <w:rsid w:val="00037A4B"/>
    <w:rsid w:val="0004394A"/>
    <w:rsid w:val="00045D90"/>
    <w:rsid w:val="00056981"/>
    <w:rsid w:val="00057CE4"/>
    <w:rsid w:val="000727FA"/>
    <w:rsid w:val="00085510"/>
    <w:rsid w:val="00090765"/>
    <w:rsid w:val="0009086C"/>
    <w:rsid w:val="000B07C2"/>
    <w:rsid w:val="000B12B5"/>
    <w:rsid w:val="000B1FA9"/>
    <w:rsid w:val="000C12A5"/>
    <w:rsid w:val="000C50A3"/>
    <w:rsid w:val="000C5F1F"/>
    <w:rsid w:val="000D1258"/>
    <w:rsid w:val="000D21AF"/>
    <w:rsid w:val="000D2E48"/>
    <w:rsid w:val="000D6D98"/>
    <w:rsid w:val="000E213C"/>
    <w:rsid w:val="000E47D9"/>
    <w:rsid w:val="000F2DD9"/>
    <w:rsid w:val="000F6844"/>
    <w:rsid w:val="001047B0"/>
    <w:rsid w:val="00106EF2"/>
    <w:rsid w:val="0011297D"/>
    <w:rsid w:val="00114281"/>
    <w:rsid w:val="001251EA"/>
    <w:rsid w:val="00131185"/>
    <w:rsid w:val="00134132"/>
    <w:rsid w:val="00136096"/>
    <w:rsid w:val="001465CA"/>
    <w:rsid w:val="00147588"/>
    <w:rsid w:val="00152834"/>
    <w:rsid w:val="00156E25"/>
    <w:rsid w:val="001601BB"/>
    <w:rsid w:val="00164361"/>
    <w:rsid w:val="00181537"/>
    <w:rsid w:val="00182981"/>
    <w:rsid w:val="00183293"/>
    <w:rsid w:val="00193778"/>
    <w:rsid w:val="001B0097"/>
    <w:rsid w:val="001B4BD5"/>
    <w:rsid w:val="001C362B"/>
    <w:rsid w:val="001D188F"/>
    <w:rsid w:val="001D284B"/>
    <w:rsid w:val="001E059B"/>
    <w:rsid w:val="001E44E4"/>
    <w:rsid w:val="00210EC7"/>
    <w:rsid w:val="00213F95"/>
    <w:rsid w:val="002219E6"/>
    <w:rsid w:val="00222C85"/>
    <w:rsid w:val="0022360E"/>
    <w:rsid w:val="002316B1"/>
    <w:rsid w:val="00242065"/>
    <w:rsid w:val="002438CE"/>
    <w:rsid w:val="00253EB2"/>
    <w:rsid w:val="00254D5F"/>
    <w:rsid w:val="00260ACD"/>
    <w:rsid w:val="00261805"/>
    <w:rsid w:val="002910A3"/>
    <w:rsid w:val="00297833"/>
    <w:rsid w:val="002A1F35"/>
    <w:rsid w:val="002A2AC6"/>
    <w:rsid w:val="002A46F7"/>
    <w:rsid w:val="002A7F32"/>
    <w:rsid w:val="002B1874"/>
    <w:rsid w:val="002B1D69"/>
    <w:rsid w:val="002B5E96"/>
    <w:rsid w:val="002B7AE5"/>
    <w:rsid w:val="002C529D"/>
    <w:rsid w:val="002D2A99"/>
    <w:rsid w:val="002D6EC7"/>
    <w:rsid w:val="002E036E"/>
    <w:rsid w:val="002F2581"/>
    <w:rsid w:val="00310C79"/>
    <w:rsid w:val="00315CF8"/>
    <w:rsid w:val="00325DC4"/>
    <w:rsid w:val="00342A5E"/>
    <w:rsid w:val="003555AC"/>
    <w:rsid w:val="00367278"/>
    <w:rsid w:val="00373813"/>
    <w:rsid w:val="00394014"/>
    <w:rsid w:val="003A0CD4"/>
    <w:rsid w:val="003B54D1"/>
    <w:rsid w:val="003B59B2"/>
    <w:rsid w:val="003C1CA4"/>
    <w:rsid w:val="003C7AC9"/>
    <w:rsid w:val="003C7E50"/>
    <w:rsid w:val="003D03F1"/>
    <w:rsid w:val="003D0922"/>
    <w:rsid w:val="003D1344"/>
    <w:rsid w:val="003D1D09"/>
    <w:rsid w:val="003D48E5"/>
    <w:rsid w:val="003D71C0"/>
    <w:rsid w:val="003E0448"/>
    <w:rsid w:val="003E3F25"/>
    <w:rsid w:val="003F0883"/>
    <w:rsid w:val="003F13B8"/>
    <w:rsid w:val="003F2749"/>
    <w:rsid w:val="003F5D3C"/>
    <w:rsid w:val="003F72CD"/>
    <w:rsid w:val="004068AE"/>
    <w:rsid w:val="00410C97"/>
    <w:rsid w:val="0041360A"/>
    <w:rsid w:val="00417CB6"/>
    <w:rsid w:val="00421276"/>
    <w:rsid w:val="0042663B"/>
    <w:rsid w:val="0046369F"/>
    <w:rsid w:val="00473ED6"/>
    <w:rsid w:val="00480768"/>
    <w:rsid w:val="0048203C"/>
    <w:rsid w:val="00482146"/>
    <w:rsid w:val="00482BBA"/>
    <w:rsid w:val="00486DB4"/>
    <w:rsid w:val="004873CA"/>
    <w:rsid w:val="004A2226"/>
    <w:rsid w:val="004A3D73"/>
    <w:rsid w:val="004A5A3C"/>
    <w:rsid w:val="004A6AE1"/>
    <w:rsid w:val="004B10B4"/>
    <w:rsid w:val="004B454F"/>
    <w:rsid w:val="004C126B"/>
    <w:rsid w:val="004C2977"/>
    <w:rsid w:val="004C718D"/>
    <w:rsid w:val="004E30AB"/>
    <w:rsid w:val="004E61BC"/>
    <w:rsid w:val="004F17AE"/>
    <w:rsid w:val="00513FD0"/>
    <w:rsid w:val="00516465"/>
    <w:rsid w:val="00517234"/>
    <w:rsid w:val="00517E2E"/>
    <w:rsid w:val="005377EC"/>
    <w:rsid w:val="00542251"/>
    <w:rsid w:val="00544753"/>
    <w:rsid w:val="00546C9A"/>
    <w:rsid w:val="005554F1"/>
    <w:rsid w:val="005733E1"/>
    <w:rsid w:val="00586E28"/>
    <w:rsid w:val="0059317C"/>
    <w:rsid w:val="00593F2C"/>
    <w:rsid w:val="005960C5"/>
    <w:rsid w:val="005A219C"/>
    <w:rsid w:val="005A6EBF"/>
    <w:rsid w:val="005D196E"/>
    <w:rsid w:val="005D4CF0"/>
    <w:rsid w:val="005E07AF"/>
    <w:rsid w:val="005E2AA2"/>
    <w:rsid w:val="005E4B80"/>
    <w:rsid w:val="005F0765"/>
    <w:rsid w:val="005F6AAC"/>
    <w:rsid w:val="006005FB"/>
    <w:rsid w:val="00631636"/>
    <w:rsid w:val="00643649"/>
    <w:rsid w:val="006450FF"/>
    <w:rsid w:val="006471F4"/>
    <w:rsid w:val="0064756E"/>
    <w:rsid w:val="00650013"/>
    <w:rsid w:val="00656D92"/>
    <w:rsid w:val="00663EE4"/>
    <w:rsid w:val="00664F73"/>
    <w:rsid w:val="006667A4"/>
    <w:rsid w:val="0068318B"/>
    <w:rsid w:val="00692730"/>
    <w:rsid w:val="006A418B"/>
    <w:rsid w:val="006B7567"/>
    <w:rsid w:val="006C57B1"/>
    <w:rsid w:val="006D0560"/>
    <w:rsid w:val="006D7D1F"/>
    <w:rsid w:val="006E5195"/>
    <w:rsid w:val="006E7260"/>
    <w:rsid w:val="006F048A"/>
    <w:rsid w:val="006F08A3"/>
    <w:rsid w:val="006F2117"/>
    <w:rsid w:val="006F31E0"/>
    <w:rsid w:val="006F6B18"/>
    <w:rsid w:val="0070581C"/>
    <w:rsid w:val="00714226"/>
    <w:rsid w:val="0072427C"/>
    <w:rsid w:val="00727523"/>
    <w:rsid w:val="00734F42"/>
    <w:rsid w:val="0074073F"/>
    <w:rsid w:val="0074306B"/>
    <w:rsid w:val="007457FB"/>
    <w:rsid w:val="00752091"/>
    <w:rsid w:val="00752FFE"/>
    <w:rsid w:val="00753F4A"/>
    <w:rsid w:val="0075786C"/>
    <w:rsid w:val="0076068C"/>
    <w:rsid w:val="0076151C"/>
    <w:rsid w:val="00773C78"/>
    <w:rsid w:val="00774EAD"/>
    <w:rsid w:val="007815CA"/>
    <w:rsid w:val="00785088"/>
    <w:rsid w:val="007859F4"/>
    <w:rsid w:val="00794357"/>
    <w:rsid w:val="007A1AE3"/>
    <w:rsid w:val="007A5179"/>
    <w:rsid w:val="007B1AAF"/>
    <w:rsid w:val="007C6636"/>
    <w:rsid w:val="007C7D43"/>
    <w:rsid w:val="007D024E"/>
    <w:rsid w:val="007D2E37"/>
    <w:rsid w:val="007D3D57"/>
    <w:rsid w:val="007D429C"/>
    <w:rsid w:val="007E0E1F"/>
    <w:rsid w:val="007E429A"/>
    <w:rsid w:val="007E44D3"/>
    <w:rsid w:val="007F2153"/>
    <w:rsid w:val="007F7EEC"/>
    <w:rsid w:val="0080020D"/>
    <w:rsid w:val="008126D1"/>
    <w:rsid w:val="00827431"/>
    <w:rsid w:val="00832C74"/>
    <w:rsid w:val="00833AF9"/>
    <w:rsid w:val="00835D7C"/>
    <w:rsid w:val="00842B95"/>
    <w:rsid w:val="0085588C"/>
    <w:rsid w:val="00865FF1"/>
    <w:rsid w:val="008661B9"/>
    <w:rsid w:val="008706B6"/>
    <w:rsid w:val="00870ED6"/>
    <w:rsid w:val="008739C3"/>
    <w:rsid w:val="0088301D"/>
    <w:rsid w:val="0089060D"/>
    <w:rsid w:val="008A3AB9"/>
    <w:rsid w:val="008B08C9"/>
    <w:rsid w:val="008C4B28"/>
    <w:rsid w:val="008E5671"/>
    <w:rsid w:val="008F44BE"/>
    <w:rsid w:val="008F4866"/>
    <w:rsid w:val="00902D77"/>
    <w:rsid w:val="0092140D"/>
    <w:rsid w:val="00936393"/>
    <w:rsid w:val="009403C0"/>
    <w:rsid w:val="00943401"/>
    <w:rsid w:val="00956D76"/>
    <w:rsid w:val="00957AE8"/>
    <w:rsid w:val="00962E74"/>
    <w:rsid w:val="0097770F"/>
    <w:rsid w:val="00981850"/>
    <w:rsid w:val="00981CEC"/>
    <w:rsid w:val="009824BE"/>
    <w:rsid w:val="00984021"/>
    <w:rsid w:val="009857AE"/>
    <w:rsid w:val="009A21E4"/>
    <w:rsid w:val="009B0F88"/>
    <w:rsid w:val="009B7454"/>
    <w:rsid w:val="009C4A7D"/>
    <w:rsid w:val="009D1D1D"/>
    <w:rsid w:val="009D5CCF"/>
    <w:rsid w:val="009E1293"/>
    <w:rsid w:val="009F4C2E"/>
    <w:rsid w:val="00A02682"/>
    <w:rsid w:val="00A07AC7"/>
    <w:rsid w:val="00A16BFC"/>
    <w:rsid w:val="00A20C04"/>
    <w:rsid w:val="00A2451F"/>
    <w:rsid w:val="00A264FE"/>
    <w:rsid w:val="00A30DB7"/>
    <w:rsid w:val="00A333B6"/>
    <w:rsid w:val="00A43EC0"/>
    <w:rsid w:val="00A43F82"/>
    <w:rsid w:val="00A44B90"/>
    <w:rsid w:val="00A62C80"/>
    <w:rsid w:val="00A7119C"/>
    <w:rsid w:val="00A72E3D"/>
    <w:rsid w:val="00A80A96"/>
    <w:rsid w:val="00A85765"/>
    <w:rsid w:val="00AA397C"/>
    <w:rsid w:val="00AA4C85"/>
    <w:rsid w:val="00AB09C0"/>
    <w:rsid w:val="00AB7741"/>
    <w:rsid w:val="00AC23CD"/>
    <w:rsid w:val="00AC33F0"/>
    <w:rsid w:val="00AC4057"/>
    <w:rsid w:val="00AD11B9"/>
    <w:rsid w:val="00AF334D"/>
    <w:rsid w:val="00B02099"/>
    <w:rsid w:val="00B07213"/>
    <w:rsid w:val="00B076F0"/>
    <w:rsid w:val="00B12486"/>
    <w:rsid w:val="00B167EB"/>
    <w:rsid w:val="00B23169"/>
    <w:rsid w:val="00B2463D"/>
    <w:rsid w:val="00B263B2"/>
    <w:rsid w:val="00B375A3"/>
    <w:rsid w:val="00B40ADD"/>
    <w:rsid w:val="00B424B0"/>
    <w:rsid w:val="00B45F7E"/>
    <w:rsid w:val="00B52105"/>
    <w:rsid w:val="00B525F1"/>
    <w:rsid w:val="00B5374C"/>
    <w:rsid w:val="00B5793B"/>
    <w:rsid w:val="00B57FB9"/>
    <w:rsid w:val="00B648E5"/>
    <w:rsid w:val="00B75061"/>
    <w:rsid w:val="00B8292E"/>
    <w:rsid w:val="00B83B7A"/>
    <w:rsid w:val="00B84349"/>
    <w:rsid w:val="00B93931"/>
    <w:rsid w:val="00B97985"/>
    <w:rsid w:val="00BB1996"/>
    <w:rsid w:val="00BB2C16"/>
    <w:rsid w:val="00BB3E7E"/>
    <w:rsid w:val="00BB67B6"/>
    <w:rsid w:val="00BB760F"/>
    <w:rsid w:val="00BC00F2"/>
    <w:rsid w:val="00BC0C86"/>
    <w:rsid w:val="00BC1DB9"/>
    <w:rsid w:val="00BC1E7D"/>
    <w:rsid w:val="00BC5148"/>
    <w:rsid w:val="00BD6BC8"/>
    <w:rsid w:val="00BF0695"/>
    <w:rsid w:val="00BF45F1"/>
    <w:rsid w:val="00C04A1F"/>
    <w:rsid w:val="00C1372B"/>
    <w:rsid w:val="00C245AC"/>
    <w:rsid w:val="00C275D5"/>
    <w:rsid w:val="00C5242A"/>
    <w:rsid w:val="00C620A9"/>
    <w:rsid w:val="00C6266B"/>
    <w:rsid w:val="00C631A1"/>
    <w:rsid w:val="00C66CEA"/>
    <w:rsid w:val="00C6742B"/>
    <w:rsid w:val="00C73316"/>
    <w:rsid w:val="00C735A5"/>
    <w:rsid w:val="00C74849"/>
    <w:rsid w:val="00C82499"/>
    <w:rsid w:val="00C83991"/>
    <w:rsid w:val="00C93362"/>
    <w:rsid w:val="00C9386E"/>
    <w:rsid w:val="00C95CBD"/>
    <w:rsid w:val="00CA3787"/>
    <w:rsid w:val="00CA38A3"/>
    <w:rsid w:val="00CB1C4A"/>
    <w:rsid w:val="00CC063E"/>
    <w:rsid w:val="00CC7FB4"/>
    <w:rsid w:val="00CD000C"/>
    <w:rsid w:val="00CD6F17"/>
    <w:rsid w:val="00CD728C"/>
    <w:rsid w:val="00CE3B96"/>
    <w:rsid w:val="00CE50A9"/>
    <w:rsid w:val="00CE5E3E"/>
    <w:rsid w:val="00CF28A7"/>
    <w:rsid w:val="00CF350F"/>
    <w:rsid w:val="00CF5959"/>
    <w:rsid w:val="00D03533"/>
    <w:rsid w:val="00D048C0"/>
    <w:rsid w:val="00D05CFC"/>
    <w:rsid w:val="00D11706"/>
    <w:rsid w:val="00D206CD"/>
    <w:rsid w:val="00D25BE1"/>
    <w:rsid w:val="00D271DC"/>
    <w:rsid w:val="00D3690E"/>
    <w:rsid w:val="00D40382"/>
    <w:rsid w:val="00D40900"/>
    <w:rsid w:val="00D439A9"/>
    <w:rsid w:val="00D53F04"/>
    <w:rsid w:val="00D71C5F"/>
    <w:rsid w:val="00D733D0"/>
    <w:rsid w:val="00D73E3D"/>
    <w:rsid w:val="00D750E9"/>
    <w:rsid w:val="00D958D5"/>
    <w:rsid w:val="00D965EB"/>
    <w:rsid w:val="00DB3446"/>
    <w:rsid w:val="00DB6A5E"/>
    <w:rsid w:val="00DC0829"/>
    <w:rsid w:val="00DC3046"/>
    <w:rsid w:val="00DC6594"/>
    <w:rsid w:val="00DC7184"/>
    <w:rsid w:val="00DE5A4F"/>
    <w:rsid w:val="00DE5D12"/>
    <w:rsid w:val="00E02D28"/>
    <w:rsid w:val="00E1343C"/>
    <w:rsid w:val="00E25910"/>
    <w:rsid w:val="00E37B55"/>
    <w:rsid w:val="00E42817"/>
    <w:rsid w:val="00E467BE"/>
    <w:rsid w:val="00E515B6"/>
    <w:rsid w:val="00E52D3A"/>
    <w:rsid w:val="00E576C0"/>
    <w:rsid w:val="00E61653"/>
    <w:rsid w:val="00E628F6"/>
    <w:rsid w:val="00E76971"/>
    <w:rsid w:val="00E8315C"/>
    <w:rsid w:val="00E90A41"/>
    <w:rsid w:val="00EA0B16"/>
    <w:rsid w:val="00EA6746"/>
    <w:rsid w:val="00EB3DD9"/>
    <w:rsid w:val="00EB67FD"/>
    <w:rsid w:val="00EB7759"/>
    <w:rsid w:val="00ED53A2"/>
    <w:rsid w:val="00EF4A2C"/>
    <w:rsid w:val="00EF5F76"/>
    <w:rsid w:val="00F01C85"/>
    <w:rsid w:val="00F07A20"/>
    <w:rsid w:val="00F1705B"/>
    <w:rsid w:val="00F21A76"/>
    <w:rsid w:val="00F27AB4"/>
    <w:rsid w:val="00F30210"/>
    <w:rsid w:val="00F33CDD"/>
    <w:rsid w:val="00F4124A"/>
    <w:rsid w:val="00F41E62"/>
    <w:rsid w:val="00F43FDE"/>
    <w:rsid w:val="00F465D3"/>
    <w:rsid w:val="00F6173A"/>
    <w:rsid w:val="00F7376F"/>
    <w:rsid w:val="00F87860"/>
    <w:rsid w:val="00F87A5F"/>
    <w:rsid w:val="00FA354B"/>
    <w:rsid w:val="00FB5A6A"/>
    <w:rsid w:val="00FC3DCA"/>
    <w:rsid w:val="00FC66C2"/>
    <w:rsid w:val="00FD7F70"/>
    <w:rsid w:val="00FE58C5"/>
    <w:rsid w:val="00FE59D1"/>
    <w:rsid w:val="00FE6C3A"/>
    <w:rsid w:val="02F95E7F"/>
    <w:rsid w:val="0517D6C8"/>
    <w:rsid w:val="06919AC1"/>
    <w:rsid w:val="07299EB9"/>
    <w:rsid w:val="089F6768"/>
    <w:rsid w:val="08D5295D"/>
    <w:rsid w:val="09D53FFE"/>
    <w:rsid w:val="0CB488FD"/>
    <w:rsid w:val="0DAAD5DC"/>
    <w:rsid w:val="0EAF0B2B"/>
    <w:rsid w:val="0EDF368E"/>
    <w:rsid w:val="0F0AFDAE"/>
    <w:rsid w:val="0F69398A"/>
    <w:rsid w:val="107A8C5D"/>
    <w:rsid w:val="10EA20B8"/>
    <w:rsid w:val="11A811D1"/>
    <w:rsid w:val="12F549A3"/>
    <w:rsid w:val="15A2FFB9"/>
    <w:rsid w:val="15A48EB2"/>
    <w:rsid w:val="178C41BE"/>
    <w:rsid w:val="19631195"/>
    <w:rsid w:val="1A2D8326"/>
    <w:rsid w:val="1AFC61E4"/>
    <w:rsid w:val="1CA61073"/>
    <w:rsid w:val="1D36C9E3"/>
    <w:rsid w:val="1D72B3A1"/>
    <w:rsid w:val="1FBF5477"/>
    <w:rsid w:val="202F5D5D"/>
    <w:rsid w:val="214EA708"/>
    <w:rsid w:val="2272025A"/>
    <w:rsid w:val="23DC3E9B"/>
    <w:rsid w:val="25B11A9A"/>
    <w:rsid w:val="26D1218C"/>
    <w:rsid w:val="28C7EDBE"/>
    <w:rsid w:val="28FB6028"/>
    <w:rsid w:val="298526A9"/>
    <w:rsid w:val="2A0779C6"/>
    <w:rsid w:val="2B5568A8"/>
    <w:rsid w:val="2C2B9315"/>
    <w:rsid w:val="2D02A877"/>
    <w:rsid w:val="2E74B33C"/>
    <w:rsid w:val="2F1F6BED"/>
    <w:rsid w:val="3106C9C8"/>
    <w:rsid w:val="3128D922"/>
    <w:rsid w:val="315A81B5"/>
    <w:rsid w:val="320BE033"/>
    <w:rsid w:val="323603A2"/>
    <w:rsid w:val="32F8F62F"/>
    <w:rsid w:val="337E93DA"/>
    <w:rsid w:val="341BBE97"/>
    <w:rsid w:val="34A72EA3"/>
    <w:rsid w:val="34E4590D"/>
    <w:rsid w:val="355BE97C"/>
    <w:rsid w:val="370D7D4C"/>
    <w:rsid w:val="39567B2F"/>
    <w:rsid w:val="3B04E5AE"/>
    <w:rsid w:val="3C58BEA7"/>
    <w:rsid w:val="3CEC0389"/>
    <w:rsid w:val="3E009332"/>
    <w:rsid w:val="3E282146"/>
    <w:rsid w:val="3EC6AD9B"/>
    <w:rsid w:val="40521AE2"/>
    <w:rsid w:val="41D2D8C4"/>
    <w:rsid w:val="42D6E4EF"/>
    <w:rsid w:val="458F003E"/>
    <w:rsid w:val="46464051"/>
    <w:rsid w:val="465821E5"/>
    <w:rsid w:val="46B93FCD"/>
    <w:rsid w:val="4711D343"/>
    <w:rsid w:val="4AE84712"/>
    <w:rsid w:val="4E363301"/>
    <w:rsid w:val="503333AF"/>
    <w:rsid w:val="5062191E"/>
    <w:rsid w:val="517BE4CA"/>
    <w:rsid w:val="532ABBB1"/>
    <w:rsid w:val="544A3155"/>
    <w:rsid w:val="54C23AF0"/>
    <w:rsid w:val="59865331"/>
    <w:rsid w:val="59872FCA"/>
    <w:rsid w:val="5AC8DB13"/>
    <w:rsid w:val="5B154969"/>
    <w:rsid w:val="5BA84168"/>
    <w:rsid w:val="5BD92245"/>
    <w:rsid w:val="5C889C0A"/>
    <w:rsid w:val="5DA329E4"/>
    <w:rsid w:val="5E79CE59"/>
    <w:rsid w:val="5F43E8E9"/>
    <w:rsid w:val="612364E5"/>
    <w:rsid w:val="619BD696"/>
    <w:rsid w:val="61BAD7D4"/>
    <w:rsid w:val="63EC56A3"/>
    <w:rsid w:val="65C9F0BA"/>
    <w:rsid w:val="65E0040B"/>
    <w:rsid w:val="667B3EFE"/>
    <w:rsid w:val="67352C0E"/>
    <w:rsid w:val="67CCEDEF"/>
    <w:rsid w:val="67EAE3B7"/>
    <w:rsid w:val="68818AA8"/>
    <w:rsid w:val="6D5F012D"/>
    <w:rsid w:val="6FD011F8"/>
    <w:rsid w:val="70526165"/>
    <w:rsid w:val="70EC0FBD"/>
    <w:rsid w:val="746B71B6"/>
    <w:rsid w:val="7540C1BC"/>
    <w:rsid w:val="766EBFB0"/>
    <w:rsid w:val="777F7FE7"/>
    <w:rsid w:val="779FE195"/>
    <w:rsid w:val="77AED92E"/>
    <w:rsid w:val="784FDDF8"/>
    <w:rsid w:val="7A76C9B9"/>
    <w:rsid w:val="7A8F4AA3"/>
    <w:rsid w:val="7B5E871A"/>
    <w:rsid w:val="7BEC4857"/>
    <w:rsid w:val="7DEAB967"/>
    <w:rsid w:val="7E2492A7"/>
    <w:rsid w:val="7EA60686"/>
    <w:rsid w:val="7F337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3DBC706"/>
  <w15:chartTrackingRefBased/>
  <w15:docId w15:val="{557B9C2F-C071-C940-B57F-825616E54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C362B"/>
    <w:pPr>
      <w:spacing w:after="160" w:line="278" w:lineRule="auto"/>
      <w:ind w:left="720"/>
      <w:contextualSpacing/>
    </w:pPr>
    <w:rPr>
      <w:kern w:val="2"/>
      <w14:ligatures w14:val="standardContextual"/>
    </w:rPr>
  </w:style>
  <w:style w:type="character" w:styleId="Refdecomentrio">
    <w:name w:val="annotation reference"/>
    <w:basedOn w:val="Fontepargpadro"/>
    <w:uiPriority w:val="99"/>
    <w:semiHidden/>
    <w:unhideWhenUsed/>
    <w:rsid w:val="00AA39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A397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A39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39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397C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B45F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16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chart" Target="charts/chart3.xm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chart" Target="charts/chart2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aneelbr-my.sharepoint.com/personal/benedito_aneel_gov_br/Documents/Microsoft%20Teams%20Chat%20Files/Dados%20Histo&#769;ricos%20Gerac&#807;a&#771;o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Pasta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https://aneelbr-my.sharepoint.com/personal/eduardoespindola_aneel_gov_br/Documents/Arquivos%20de%20Chat%20do%20Microsoft%20Teams/Evolu&#231;&#227;o%20de%20Solicita&#231;&#245;es%20de%20Ouvidoria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[Dados Históricos Geração.xlsx]Tabela e Gráfico!Tabela dinâmica3</c:name>
    <c:fmtId val="-1"/>
  </c:pivotSource>
  <c:chart>
    <c:autoTitleDeleted val="0"/>
    <c:pivotFmts>
      <c:pivotFmt>
        <c:idx val="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 w="34925" cap="rnd">
            <a:solidFill>
              <a:schemeClr val="accent1"/>
            </a:solidFill>
            <a:round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c:spPr>
        <c:marker>
          <c:symbol val="circle"/>
          <c:size val="6"/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9525">
              <a:solidFill>
                <a:schemeClr val="accent2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 w="34925" cap="rnd">
            <a:solidFill>
              <a:schemeClr val="accent1"/>
            </a:solidFill>
            <a:round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c:spPr>
        <c:marker>
          <c:symbol val="circle"/>
          <c:size val="6"/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9525">
              <a:solidFill>
                <a:schemeClr val="accent2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1"/>
          </a:solidFill>
          <a:ln w="34925" cap="rnd">
            <a:solidFill>
              <a:schemeClr val="accent1"/>
            </a:solidFill>
            <a:round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c:spPr>
        <c:marker>
          <c:symbol val="circle"/>
          <c:size val="6"/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9525">
              <a:solidFill>
                <a:schemeClr val="accent2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areaChart>
        <c:grouping val="stacked"/>
        <c:varyColors val="0"/>
        <c:ser>
          <c:idx val="0"/>
          <c:order val="0"/>
          <c:tx>
            <c:strRef>
              <c:f>'Tabela e Gráfico'!$B$3</c:f>
              <c:strCache>
                <c:ptCount val="1"/>
                <c:pt idx="0">
                  <c:v>Soma de Potência Outorgada (MW)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'Tabela e Gráfico'!$A$4:$A$24</c:f>
              <c:strCache>
                <c:ptCount val="20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  <c:pt idx="12">
                  <c:v>2017</c:v>
                </c:pt>
                <c:pt idx="13">
                  <c:v>2018</c:v>
                </c:pt>
                <c:pt idx="14">
                  <c:v>2019</c:v>
                </c:pt>
                <c:pt idx="15">
                  <c:v>2020</c:v>
                </c:pt>
                <c:pt idx="16">
                  <c:v>2021</c:v>
                </c:pt>
                <c:pt idx="17">
                  <c:v>2022</c:v>
                </c:pt>
                <c:pt idx="18">
                  <c:v>2023</c:v>
                </c:pt>
                <c:pt idx="19">
                  <c:v>2024</c:v>
                </c:pt>
              </c:strCache>
            </c:strRef>
          </c:cat>
          <c:val>
            <c:numRef>
              <c:f>'Tabela e Gráfico'!$B$4:$B$24</c:f>
              <c:numCache>
                <c:formatCode>#,##0.00</c:formatCode>
                <c:ptCount val="20"/>
                <c:pt idx="0">
                  <c:v>872.90896999999984</c:v>
                </c:pt>
                <c:pt idx="1">
                  <c:v>2674.7149699999995</c:v>
                </c:pt>
                <c:pt idx="2">
                  <c:v>5934.1989699999995</c:v>
                </c:pt>
                <c:pt idx="3">
                  <c:v>16838.58597</c:v>
                </c:pt>
                <c:pt idx="4">
                  <c:v>23259.023970000002</c:v>
                </c:pt>
                <c:pt idx="5">
                  <c:v>37724.080969999995</c:v>
                </c:pt>
                <c:pt idx="6">
                  <c:v>43506.726919999994</c:v>
                </c:pt>
                <c:pt idx="7">
                  <c:v>48036.821919999995</c:v>
                </c:pt>
                <c:pt idx="8">
                  <c:v>49661.025219999996</c:v>
                </c:pt>
                <c:pt idx="9">
                  <c:v>57022.422219999993</c:v>
                </c:pt>
                <c:pt idx="10">
                  <c:v>64294.413619999992</c:v>
                </c:pt>
                <c:pt idx="11">
                  <c:v>76816.221619999997</c:v>
                </c:pt>
                <c:pt idx="12">
                  <c:v>79274.505619999996</c:v>
                </c:pt>
                <c:pt idx="13">
                  <c:v>87614.893719999993</c:v>
                </c:pt>
                <c:pt idx="14">
                  <c:v>100202.76851999998</c:v>
                </c:pt>
                <c:pt idx="15">
                  <c:v>115106.62899999999</c:v>
                </c:pt>
                <c:pt idx="16">
                  <c:v>134737.72839999999</c:v>
                </c:pt>
                <c:pt idx="17">
                  <c:v>214979.09182000026</c:v>
                </c:pt>
                <c:pt idx="18">
                  <c:v>299723.84542000073</c:v>
                </c:pt>
                <c:pt idx="19">
                  <c:v>299927.72042000073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CFB-0140-9A8D-E0B773D05B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30531647"/>
        <c:axId val="1530532607"/>
      </c:areaChart>
      <c:lineChart>
        <c:grouping val="stacked"/>
        <c:varyColors val="0"/>
        <c:ser>
          <c:idx val="1"/>
          <c:order val="1"/>
          <c:tx>
            <c:strRef>
              <c:f>'Tabela e Gráfico'!$C$3</c:f>
              <c:strCache>
                <c:ptCount val="1"/>
                <c:pt idx="0">
                  <c:v>Número de Usinas Outorgadas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'Tabela e Gráfico'!$A$4:$A$24</c:f>
              <c:strCache>
                <c:ptCount val="20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  <c:pt idx="12">
                  <c:v>2017</c:v>
                </c:pt>
                <c:pt idx="13">
                  <c:v>2018</c:v>
                </c:pt>
                <c:pt idx="14">
                  <c:v>2019</c:v>
                </c:pt>
                <c:pt idx="15">
                  <c:v>2020</c:v>
                </c:pt>
                <c:pt idx="16">
                  <c:v>2021</c:v>
                </c:pt>
                <c:pt idx="17">
                  <c:v>2022</c:v>
                </c:pt>
                <c:pt idx="18">
                  <c:v>2023</c:v>
                </c:pt>
                <c:pt idx="19">
                  <c:v>2024</c:v>
                </c:pt>
              </c:strCache>
            </c:strRef>
          </c:cat>
          <c:val>
            <c:numRef>
              <c:f>'Tabela e Gráfico'!$C$4:$C$24</c:f>
              <c:numCache>
                <c:formatCode>0</c:formatCode>
                <c:ptCount val="20"/>
                <c:pt idx="0">
                  <c:v>30</c:v>
                </c:pt>
                <c:pt idx="1">
                  <c:v>65</c:v>
                </c:pt>
                <c:pt idx="2">
                  <c:v>107</c:v>
                </c:pt>
                <c:pt idx="3">
                  <c:v>166</c:v>
                </c:pt>
                <c:pt idx="4">
                  <c:v>236</c:v>
                </c:pt>
                <c:pt idx="5">
                  <c:v>350</c:v>
                </c:pt>
                <c:pt idx="6">
                  <c:v>455</c:v>
                </c:pt>
                <c:pt idx="7">
                  <c:v>588</c:v>
                </c:pt>
                <c:pt idx="8">
                  <c:v>628</c:v>
                </c:pt>
                <c:pt idx="9">
                  <c:v>849</c:v>
                </c:pt>
                <c:pt idx="10">
                  <c:v>1020</c:v>
                </c:pt>
                <c:pt idx="11">
                  <c:v>1247</c:v>
                </c:pt>
                <c:pt idx="12">
                  <c:v>1375</c:v>
                </c:pt>
                <c:pt idx="13">
                  <c:v>1523</c:v>
                </c:pt>
                <c:pt idx="14">
                  <c:v>1830</c:v>
                </c:pt>
                <c:pt idx="15">
                  <c:v>2197</c:v>
                </c:pt>
                <c:pt idx="16">
                  <c:v>2668</c:v>
                </c:pt>
                <c:pt idx="17">
                  <c:v>3915</c:v>
                </c:pt>
                <c:pt idx="18">
                  <c:v>5858</c:v>
                </c:pt>
                <c:pt idx="19">
                  <c:v>5864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CFB-0140-9A8D-E0B773D05B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71513375"/>
        <c:axId val="1271512415"/>
      </c:lineChart>
      <c:catAx>
        <c:axId val="153053164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530532607"/>
        <c:crosses val="autoZero"/>
        <c:auto val="1"/>
        <c:lblAlgn val="ctr"/>
        <c:lblOffset val="100"/>
        <c:noMultiLvlLbl val="0"/>
      </c:catAx>
      <c:valAx>
        <c:axId val="153053260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530531647"/>
        <c:crosses val="autoZero"/>
        <c:crossBetween val="between"/>
      </c:valAx>
      <c:valAx>
        <c:axId val="1271512415"/>
        <c:scaling>
          <c:orientation val="minMax"/>
          <c:max val="15000"/>
          <c:min val="0"/>
        </c:scaling>
        <c:delete val="0"/>
        <c:axPos val="r"/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271513375"/>
        <c:crosses val="max"/>
        <c:crossBetween val="between"/>
      </c:valAx>
      <c:catAx>
        <c:axId val="1271513375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271512415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Penetração</a:t>
            </a:r>
            <a:r>
              <a:rPr lang="pt-BR" baseline="0"/>
              <a:t> MMGD</a:t>
            </a:r>
            <a:endParaRPr lang="pt-B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1"/>
          <c:order val="1"/>
          <c:tx>
            <c:strRef>
              <c:f>Dados!$C$1</c:f>
              <c:strCache>
                <c:ptCount val="1"/>
                <c:pt idx="0">
                  <c:v>UC MMGD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86000"/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tint val="86000"/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tint val="86000"/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tint val="86000"/>
                  <a:shade val="95000"/>
                </a:schemeClr>
              </a:solidFill>
              <a:round/>
            </a:ln>
            <a:effectLst/>
          </c:spPr>
          <c:invertIfNegative val="0"/>
          <c:cat>
            <c:numRef>
              <c:f>Dados!$A$2:$A$10</c:f>
              <c:numCache>
                <c:formatCode>General</c:formatCode>
                <c:ptCount val="9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</c:numCache>
            </c:numRef>
          </c:cat>
          <c:val>
            <c:numRef>
              <c:f>Dados!$C$2:$C$10</c:f>
              <c:numCache>
                <c:formatCode>_-* #,##0_-;\-* #,##0_-;_-* "-"??_-;_-@_-</c:formatCode>
                <c:ptCount val="9"/>
                <c:pt idx="0">
                  <c:v>8296</c:v>
                </c:pt>
                <c:pt idx="1">
                  <c:v>21791</c:v>
                </c:pt>
                <c:pt idx="2">
                  <c:v>57979</c:v>
                </c:pt>
                <c:pt idx="3">
                  <c:v>181243</c:v>
                </c:pt>
                <c:pt idx="4">
                  <c:v>407810</c:v>
                </c:pt>
                <c:pt idx="5">
                  <c:v>864172</c:v>
                </c:pt>
                <c:pt idx="6">
                  <c:v>1666595</c:v>
                </c:pt>
                <c:pt idx="7">
                  <c:v>2351924</c:v>
                </c:pt>
                <c:pt idx="8">
                  <c:v>2642076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27-B747-A0FC-46AF3938B30B}"/>
            </c:ext>
          </c:extLst>
        </c:ser>
        <c:ser>
          <c:idx val="2"/>
          <c:order val="2"/>
          <c:tx>
            <c:strRef>
              <c:f>Dados!$E$1</c:f>
              <c:strCache>
                <c:ptCount val="1"/>
                <c:pt idx="0">
                  <c:v>UC Beneficiada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86000"/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shade val="86000"/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shade val="86000"/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86000"/>
                  <a:shade val="95000"/>
                </a:schemeClr>
              </a:solidFill>
              <a:round/>
            </a:ln>
            <a:effectLst/>
          </c:spPr>
          <c:invertIfNegative val="0"/>
          <c:cat>
            <c:numRef>
              <c:f>Dados!$A$2:$A$10</c:f>
              <c:numCache>
                <c:formatCode>General</c:formatCode>
                <c:ptCount val="9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</c:numCache>
            </c:numRef>
          </c:cat>
          <c:val>
            <c:numRef>
              <c:f>Dados!$E$2:$E$10</c:f>
              <c:numCache>
                <c:formatCode>_-* #,##0_-;\-* #,##0_-;_-* "-"??_-;_-@_-</c:formatCode>
                <c:ptCount val="9"/>
                <c:pt idx="0">
                  <c:v>10994</c:v>
                </c:pt>
                <c:pt idx="1">
                  <c:v>40158</c:v>
                </c:pt>
                <c:pt idx="2">
                  <c:v>100908</c:v>
                </c:pt>
                <c:pt idx="3">
                  <c:v>272046</c:v>
                </c:pt>
                <c:pt idx="4">
                  <c:v>658774</c:v>
                </c:pt>
                <c:pt idx="5">
                  <c:v>1312589</c:v>
                </c:pt>
                <c:pt idx="6">
                  <c:v>2507679</c:v>
                </c:pt>
                <c:pt idx="7">
                  <c:v>3450937</c:v>
                </c:pt>
                <c:pt idx="8">
                  <c:v>3812945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927-B747-A0FC-46AF3938B3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106457648"/>
        <c:axId val="106455152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Dados!$A$1</c15:sqref>
                        </c15:formulaRef>
                      </c:ext>
                    </c:extLst>
                    <c:strCache>
                      <c:ptCount val="1"/>
                      <c:pt idx="0">
                        <c:v>Ano</c:v>
                      </c:pt>
                    </c:strCache>
                  </c:strRef>
                </c:tx>
                <c:spPr>
                  <a:gradFill rotWithShape="1">
                    <a:gsLst>
                      <a:gs pos="0">
                        <a:schemeClr val="accent1">
                          <a:tint val="58000"/>
                          <a:lumMod val="110000"/>
                          <a:satMod val="105000"/>
                          <a:tint val="67000"/>
                        </a:schemeClr>
                      </a:gs>
                      <a:gs pos="50000">
                        <a:schemeClr val="accent1">
                          <a:tint val="58000"/>
                          <a:lumMod val="105000"/>
                          <a:satMod val="103000"/>
                          <a:tint val="73000"/>
                        </a:schemeClr>
                      </a:gs>
                      <a:gs pos="100000">
                        <a:schemeClr val="accent1">
                          <a:tint val="58000"/>
                          <a:lumMod val="105000"/>
                          <a:satMod val="109000"/>
                          <a:tint val="81000"/>
                        </a:schemeClr>
                      </a:gs>
                    </a:gsLst>
                    <a:lin ang="5400000" scaled="0"/>
                  </a:gradFill>
                  <a:ln w="9525" cap="flat" cmpd="sng" algn="ctr">
                    <a:solidFill>
                      <a:schemeClr val="accent1">
                        <a:tint val="58000"/>
                        <a:shade val="95000"/>
                      </a:schemeClr>
                    </a:solidFill>
                    <a:round/>
                  </a:ln>
                  <a:effectLst/>
                </c:spPr>
                <c:invertIfNegative val="0"/>
                <c:cat>
                  <c:numRef>
                    <c:extLst>
                      <c:ext uri="{02D57815-91ED-43cb-92C2-25804820EDAC}">
                        <c15:formulaRef>
                          <c15:sqref>Dados!$A$2:$A$10</c15:sqref>
                        </c15:formulaRef>
                      </c:ext>
                    </c:extLst>
                    <c:numCache>
                      <c:formatCode>General</c:formatCode>
                      <c:ptCount val="9"/>
                      <c:pt idx="0">
                        <c:v>2016</c:v>
                      </c:pt>
                      <c:pt idx="1">
                        <c:v>2017</c:v>
                      </c:pt>
                      <c:pt idx="2">
                        <c:v>2018</c:v>
                      </c:pt>
                      <c:pt idx="3">
                        <c:v>2019</c:v>
                      </c:pt>
                      <c:pt idx="4">
                        <c:v>2020</c:v>
                      </c:pt>
                      <c:pt idx="5">
                        <c:v>2021</c:v>
                      </c:pt>
                      <c:pt idx="6">
                        <c:v>2022</c:v>
                      </c:pt>
                      <c:pt idx="7">
                        <c:v>2023</c:v>
                      </c:pt>
                      <c:pt idx="8">
                        <c:v>2024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Dados!$A$2:$A$10</c15:sqref>
                        </c15:formulaRef>
                      </c:ext>
                    </c:extLst>
                    <c:numCache>
                      <c:formatCode>General</c:formatCode>
                      <c:ptCount val="9"/>
                      <c:pt idx="0">
                        <c:v>2016</c:v>
                      </c:pt>
                      <c:pt idx="1">
                        <c:v>2017</c:v>
                      </c:pt>
                      <c:pt idx="2">
                        <c:v>2018</c:v>
                      </c:pt>
                      <c:pt idx="3">
                        <c:v>2019</c:v>
                      </c:pt>
                      <c:pt idx="4">
                        <c:v>2020</c:v>
                      </c:pt>
                      <c:pt idx="5">
                        <c:v>2021</c:v>
                      </c:pt>
                      <c:pt idx="6">
                        <c:v>2022</c:v>
                      </c:pt>
                      <c:pt idx="7">
                        <c:v>2023</c:v>
                      </c:pt>
                      <c:pt idx="8">
                        <c:v>2024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F927-B747-A0FC-46AF3938B30B}"/>
                  </c:ext>
                </c:extLst>
              </c15:ser>
            </c15:filteredBarSeries>
          </c:ext>
        </c:extLst>
      </c:barChart>
      <c:lineChart>
        <c:grouping val="standard"/>
        <c:varyColors val="0"/>
        <c:ser>
          <c:idx val="3"/>
          <c:order val="3"/>
          <c:tx>
            <c:strRef>
              <c:f>Dados!$H$1</c:f>
              <c:strCache>
                <c:ptCount val="1"/>
                <c:pt idx="0">
                  <c:v>Potência</c:v>
                </c:pt>
              </c:strCache>
            </c:strRef>
          </c:tx>
          <c:spPr>
            <a:ln w="15875" cap="rnd">
              <a:solidFill>
                <a:schemeClr val="accent1">
                  <a:shade val="58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Dados!$H$2:$H$10</c:f>
              <c:numCache>
                <c:formatCode>_-* #,##0_-;\-* #,##0_-;_-* "-"??_-;_-@_-</c:formatCode>
                <c:ptCount val="9"/>
                <c:pt idx="0">
                  <c:v>85.72466</c:v>
                </c:pt>
                <c:pt idx="1">
                  <c:v>241.74736999999999</c:v>
                </c:pt>
                <c:pt idx="2">
                  <c:v>688.68579999999997</c:v>
                </c:pt>
                <c:pt idx="3">
                  <c:v>2310.5182599999998</c:v>
                </c:pt>
                <c:pt idx="4">
                  <c:v>5312.3077599999997</c:v>
                </c:pt>
                <c:pt idx="5">
                  <c:v>10040.464669999999</c:v>
                </c:pt>
                <c:pt idx="6">
                  <c:v>18199.119549999999</c:v>
                </c:pt>
                <c:pt idx="7">
                  <c:v>26555.63521</c:v>
                </c:pt>
                <c:pt idx="8">
                  <c:v>29586.743930000001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927-B747-A0FC-46AF3938B3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6457232"/>
        <c:axId val="106456816"/>
      </c:lineChart>
      <c:dateAx>
        <c:axId val="106457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06455152"/>
        <c:crosses val="autoZero"/>
        <c:auto val="0"/>
        <c:lblOffset val="100"/>
        <c:baseTimeUnit val="days"/>
      </c:dateAx>
      <c:valAx>
        <c:axId val="106455152"/>
        <c:scaling>
          <c:orientation val="minMax"/>
          <c:max val="4000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/>
                  <a:t>Quantidade de UC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50000"/>
                      <a:lumOff val="50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_-* #,##0_-;\-* #,##0_-;_-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06457648"/>
        <c:crosses val="autoZero"/>
        <c:crossBetween val="between"/>
      </c:valAx>
      <c:valAx>
        <c:axId val="106456816"/>
        <c:scaling>
          <c:orientation val="minMax"/>
          <c:max val="300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/>
                  <a:t>Potência (MW)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50000"/>
                      <a:lumOff val="50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_-* #,##0_-;\-* #,##0_-;_-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06457232"/>
        <c:crosses val="max"/>
        <c:crossBetween val="between"/>
      </c:valAx>
      <c:catAx>
        <c:axId val="10645723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0645681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sz="1200" b="1"/>
              <a:t>Reclamações na Ouvidoria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Planilha1!$B$1</c:f>
              <c:strCache>
                <c:ptCount val="1"/>
                <c:pt idx="0">
                  <c:v>Denuncias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Planilha1!$A$2:$A$25</c:f>
              <c:numCache>
                <c:formatCode>General</c:formatCod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numCache>
            </c:numRef>
          </c:cat>
          <c:val>
            <c:numRef>
              <c:f>Planilha1!$B$2:$B$25</c:f>
            </c:numRef>
          </c:val>
          <c:smooth val="0"/>
          <c:extLst>
            <c:ext xmlns:c16="http://schemas.microsoft.com/office/drawing/2014/chart" uri="{C3380CC4-5D6E-409C-BE32-E72D297353CC}">
              <c16:uniqueId val="{00000000-FDBA-E54E-91FA-D4CBFA08950B}"/>
            </c:ext>
          </c:extLst>
        </c:ser>
        <c:ser>
          <c:idx val="1"/>
          <c:order val="1"/>
          <c:tx>
            <c:strRef>
              <c:f>Planilha1!$C$1</c:f>
              <c:strCache>
                <c:ptCount val="1"/>
                <c:pt idx="0">
                  <c:v>Elogio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Planilha1!$A$2:$A$25</c:f>
              <c:numCache>
                <c:formatCode>General</c:formatCod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numCache>
            </c:numRef>
          </c:cat>
          <c:val>
            <c:numRef>
              <c:f>Planilha1!$C$2:$C$25</c:f>
            </c:numRef>
          </c:val>
          <c:smooth val="0"/>
          <c:extLst>
            <c:ext xmlns:c16="http://schemas.microsoft.com/office/drawing/2014/chart" uri="{C3380CC4-5D6E-409C-BE32-E72D297353CC}">
              <c16:uniqueId val="{00000001-FDBA-E54E-91FA-D4CBFA08950B}"/>
            </c:ext>
          </c:extLst>
        </c:ser>
        <c:ser>
          <c:idx val="2"/>
          <c:order val="2"/>
          <c:tx>
            <c:strRef>
              <c:f>Planilha1!$D$1</c:f>
              <c:strCache>
                <c:ptCount val="1"/>
                <c:pt idx="0">
                  <c:v>Informação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Planilha1!$A$2:$A$25</c:f>
              <c:numCache>
                <c:formatCode>General</c:formatCod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numCache>
            </c:numRef>
          </c:cat>
          <c:val>
            <c:numRef>
              <c:f>Planilha1!$D$2:$D$25</c:f>
            </c:numRef>
          </c:val>
          <c:smooth val="0"/>
          <c:extLst>
            <c:ext xmlns:c16="http://schemas.microsoft.com/office/drawing/2014/chart" uri="{C3380CC4-5D6E-409C-BE32-E72D297353CC}">
              <c16:uniqueId val="{00000002-FDBA-E54E-91FA-D4CBFA08950B}"/>
            </c:ext>
          </c:extLst>
        </c:ser>
        <c:ser>
          <c:idx val="3"/>
          <c:order val="3"/>
          <c:tx>
            <c:strRef>
              <c:f>Planilha1!$E$1</c:f>
              <c:strCache>
                <c:ptCount val="1"/>
                <c:pt idx="0">
                  <c:v>Reclamação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Planilha1!$A$2:$A$25</c:f>
              <c:numCache>
                <c:formatCode>General</c:formatCod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numCache>
            </c:numRef>
          </c:cat>
          <c:val>
            <c:numRef>
              <c:f>Planilha1!$E$2:$E$25</c:f>
              <c:numCache>
                <c:formatCode>_-* #,##0_-;\-* #,##0_-;_-* "-"??_-;_-@_-</c:formatCode>
                <c:ptCount val="24"/>
                <c:pt idx="0">
                  <c:v>21614</c:v>
                </c:pt>
                <c:pt idx="1">
                  <c:v>76783</c:v>
                </c:pt>
                <c:pt idx="2">
                  <c:v>96190</c:v>
                </c:pt>
                <c:pt idx="3">
                  <c:v>44857</c:v>
                </c:pt>
                <c:pt idx="4">
                  <c:v>36308</c:v>
                </c:pt>
                <c:pt idx="5">
                  <c:v>37941</c:v>
                </c:pt>
                <c:pt idx="6">
                  <c:v>39205</c:v>
                </c:pt>
                <c:pt idx="7">
                  <c:v>44244</c:v>
                </c:pt>
                <c:pt idx="8">
                  <c:v>55035</c:v>
                </c:pt>
                <c:pt idx="9">
                  <c:v>59011</c:v>
                </c:pt>
                <c:pt idx="10">
                  <c:v>74249</c:v>
                </c:pt>
                <c:pt idx="11">
                  <c:v>79225</c:v>
                </c:pt>
                <c:pt idx="12">
                  <c:v>87555</c:v>
                </c:pt>
                <c:pt idx="13">
                  <c:v>92277</c:v>
                </c:pt>
                <c:pt idx="14">
                  <c:v>125862</c:v>
                </c:pt>
                <c:pt idx="15">
                  <c:v>171657</c:v>
                </c:pt>
                <c:pt idx="16">
                  <c:v>154674</c:v>
                </c:pt>
                <c:pt idx="17">
                  <c:v>155884</c:v>
                </c:pt>
                <c:pt idx="18">
                  <c:v>161078</c:v>
                </c:pt>
                <c:pt idx="19">
                  <c:v>196411</c:v>
                </c:pt>
                <c:pt idx="20">
                  <c:v>226874</c:v>
                </c:pt>
                <c:pt idx="21">
                  <c:v>220066</c:v>
                </c:pt>
                <c:pt idx="22">
                  <c:v>192698</c:v>
                </c:pt>
                <c:pt idx="23">
                  <c:v>197548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DBA-E54E-91FA-D4CBFA0895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92404783"/>
        <c:axId val="1292405199"/>
      </c:lineChart>
      <c:catAx>
        <c:axId val="12924047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292405199"/>
        <c:crosses val="autoZero"/>
        <c:auto val="1"/>
        <c:lblAlgn val="ctr"/>
        <c:lblOffset val="100"/>
        <c:tickLblSkip val="1"/>
        <c:tickMarkSkip val="5"/>
        <c:noMultiLvlLbl val="0"/>
      </c:catAx>
      <c:valAx>
        <c:axId val="129240519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_-;\-* #,##0_-;_-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29240478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25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5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75000"/>
            <a:lumOff val="2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75000"/>
            <a:lumOff val="2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75000"/>
            <a:lumOff val="2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D639362-E185-054F-9724-4BF8FDC3F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1309</Words>
  <Characters>7073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Benedito Cruz Gomes (STD)</dc:creator>
  <cp:keywords/>
  <dc:description/>
  <cp:lastModifiedBy>Benedito Cruz Gomes (STD)</cp:lastModifiedBy>
  <cp:revision>10</cp:revision>
  <dcterms:created xsi:type="dcterms:W3CDTF">2024-06-28T15:05:00Z</dcterms:created>
  <dcterms:modified xsi:type="dcterms:W3CDTF">2024-06-28T21:35:00Z</dcterms:modified>
</cp:coreProperties>
</file>